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E8" w:rsidRDefault="00C41BE8" w:rsidP="00C41BE8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C41BE8" w:rsidRDefault="00C41BE8" w:rsidP="00C41BE8">
      <w:pPr>
        <w:ind w:right="-1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960120" cy="655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E8" w:rsidRPr="00516FAF" w:rsidRDefault="00C41BE8" w:rsidP="00C41BE8">
      <w:pPr>
        <w:ind w:right="-1"/>
        <w:jc w:val="center"/>
        <w:rPr>
          <w:b/>
          <w:sz w:val="20"/>
          <w:szCs w:val="20"/>
        </w:rPr>
      </w:pPr>
    </w:p>
    <w:p w:rsidR="00C41BE8" w:rsidRDefault="00C41BE8" w:rsidP="00C41BE8">
      <w:pPr>
        <w:spacing w:line="360" w:lineRule="auto"/>
        <w:ind w:right="-1"/>
        <w:jc w:val="center"/>
        <w:rPr>
          <w:b/>
        </w:rPr>
      </w:pPr>
      <w:r>
        <w:rPr>
          <w:b/>
        </w:rPr>
        <w:t xml:space="preserve">CONSIGLIO DELL’ORDINE DEGLI AVVOCATI DI FIRENZE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10044"/>
      </w:tblGrid>
      <w:tr w:rsidR="00C41BE8" w:rsidTr="000D193F">
        <w:trPr>
          <w:trHeight w:val="680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1A1" w:rsidRPr="002101A1" w:rsidRDefault="00C41BE8" w:rsidP="00152EB0">
            <w:pPr>
              <w:pStyle w:val="Tito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 w:right="0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VERBALE DELL’ADUNANZA DEL </w:t>
            </w:r>
            <w:r w:rsidR="002101A1">
              <w:rPr>
                <w:b/>
                <w:sz w:val="24"/>
                <w:szCs w:val="24"/>
                <w:u w:val="none"/>
              </w:rPr>
              <w:t xml:space="preserve"> </w:t>
            </w:r>
            <w:r w:rsidR="00152EB0">
              <w:rPr>
                <w:b/>
                <w:sz w:val="24"/>
                <w:szCs w:val="24"/>
                <w:u w:val="none"/>
              </w:rPr>
              <w:t>3</w:t>
            </w:r>
            <w:bookmarkStart w:id="0" w:name="_GoBack"/>
            <w:bookmarkEnd w:id="0"/>
            <w:r w:rsidR="002101A1">
              <w:rPr>
                <w:b/>
                <w:sz w:val="24"/>
                <w:szCs w:val="24"/>
                <w:u w:val="none"/>
              </w:rPr>
              <w:t xml:space="preserve"> APRILE 2019</w:t>
            </w:r>
          </w:p>
        </w:tc>
      </w:tr>
    </w:tbl>
    <w:p w:rsidR="00C41BE8" w:rsidRDefault="00C41BE8" w:rsidP="00C41BE8">
      <w:pPr>
        <w:rPr>
          <w:sz w:val="16"/>
          <w:szCs w:val="16"/>
          <w:u w:val="single"/>
        </w:rPr>
      </w:pPr>
    </w:p>
    <w:p w:rsidR="00C41BE8" w:rsidRDefault="00C41BE8" w:rsidP="00C41BE8">
      <w:pPr>
        <w:spacing w:line="360" w:lineRule="auto"/>
        <w:jc w:val="center"/>
        <w:rPr>
          <w:sz w:val="16"/>
          <w:szCs w:val="16"/>
          <w:u w:val="single"/>
        </w:rPr>
      </w:pPr>
      <w:r>
        <w:rPr>
          <w:b/>
        </w:rPr>
        <w:t xml:space="preserve">DELIBERA n. </w:t>
      </w:r>
      <w:r w:rsidR="00D26CF0">
        <w:rPr>
          <w:b/>
        </w:rPr>
        <w:t>2</w:t>
      </w:r>
      <w:r>
        <w:rPr>
          <w:b/>
        </w:rPr>
        <w:t xml:space="preserve"> </w:t>
      </w:r>
    </w:p>
    <w:tbl>
      <w:tblPr>
        <w:tblW w:w="10078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10078"/>
      </w:tblGrid>
      <w:tr w:rsidR="00C41BE8" w:rsidTr="000D193F">
        <w:trPr>
          <w:trHeight w:val="850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E8" w:rsidRDefault="00C41BE8" w:rsidP="000D193F">
            <w:pPr>
              <w:snapToGrid w:val="0"/>
              <w:jc w:val="center"/>
              <w:rPr>
                <w:b/>
              </w:rPr>
            </w:pPr>
          </w:p>
          <w:p w:rsidR="00B74162" w:rsidRPr="00B74162" w:rsidRDefault="00B74162" w:rsidP="00B74162">
            <w:pPr>
              <w:ind w:left="113"/>
              <w:jc w:val="center"/>
              <w:rPr>
                <w:rFonts w:cs="Times New Roman"/>
                <w:b/>
                <w:iCs/>
              </w:rPr>
            </w:pPr>
            <w:r w:rsidRPr="00B74162">
              <w:rPr>
                <w:rFonts w:cs="Times New Roman"/>
                <w:b/>
                <w:iCs/>
              </w:rPr>
              <w:t xml:space="preserve">SOSPENSIONE ISCRITTI PER MANCATO </w:t>
            </w:r>
          </w:p>
          <w:p w:rsidR="00B74162" w:rsidRPr="00B74162" w:rsidRDefault="00B74162" w:rsidP="00B74162">
            <w:pPr>
              <w:ind w:left="113"/>
              <w:jc w:val="center"/>
              <w:rPr>
                <w:rFonts w:cs="Times New Roman"/>
                <w:b/>
                <w:iCs/>
              </w:rPr>
            </w:pPr>
            <w:r w:rsidRPr="00B74162">
              <w:rPr>
                <w:rFonts w:cs="Times New Roman"/>
                <w:b/>
                <w:iCs/>
              </w:rPr>
              <w:t xml:space="preserve">VERSAMENTO DEI CONTRIBUTI – EFFETTI </w:t>
            </w:r>
          </w:p>
          <w:p w:rsidR="00C41BE8" w:rsidRDefault="00C41BE8" w:rsidP="000D193F">
            <w:pPr>
              <w:jc w:val="center"/>
              <w:rPr>
                <w:b/>
              </w:rPr>
            </w:pPr>
          </w:p>
        </w:tc>
      </w:tr>
    </w:tbl>
    <w:p w:rsidR="00C41BE8" w:rsidRPr="00516FAF" w:rsidRDefault="00C41BE8" w:rsidP="00C41BE8">
      <w:pPr>
        <w:spacing w:before="120" w:after="120"/>
        <w:jc w:val="both"/>
        <w:rPr>
          <w:rFonts w:cs="Times New Roman"/>
          <w:bCs/>
          <w:iCs/>
          <w:sz w:val="10"/>
          <w:szCs w:val="10"/>
        </w:rPr>
      </w:pPr>
    </w:p>
    <w:p w:rsidR="00B74162" w:rsidRDefault="00B74162" w:rsidP="00F423B7">
      <w:pPr>
        <w:jc w:val="both"/>
      </w:pPr>
      <w:r>
        <w:t xml:space="preserve">Il Consiglio </w:t>
      </w:r>
    </w:p>
    <w:p w:rsidR="00B74162" w:rsidRDefault="00B74162" w:rsidP="00F423B7">
      <w:pPr>
        <w:jc w:val="both"/>
      </w:pPr>
      <w:r>
        <w:t>su relazione del Consigliere</w:t>
      </w:r>
      <w:r w:rsidR="00055B9F">
        <w:t xml:space="preserve"> Segretario</w:t>
      </w:r>
      <w:r>
        <w:t xml:space="preserve"> Singlitico</w:t>
      </w:r>
      <w:r w:rsidR="00055B9F">
        <w:t>,</w:t>
      </w:r>
    </w:p>
    <w:p w:rsidR="00B74162" w:rsidRDefault="00B74162" w:rsidP="00F423B7">
      <w:pPr>
        <w:jc w:val="center"/>
      </w:pPr>
      <w:r>
        <w:t>ritenuto necessario</w:t>
      </w:r>
    </w:p>
    <w:p w:rsidR="00B74162" w:rsidRDefault="00B74162" w:rsidP="00F423B7">
      <w:pPr>
        <w:jc w:val="both"/>
      </w:pPr>
      <w:r>
        <w:t>assumere una delibera che precisi, con chiarezza, gli effetti dei provvedimenti di sospensione ex art. 29 comma 6 della Legge 247/2012 conseguenti al mancato versamento dei contributi da parte degli iscritti, nonché indichi le procedure che gli uffici di segreteria dell’Ordine devono seguire nei procedimenti conseguenziali e ciò  per eliminare ogni e qualunque incertezza ed evitare così che si possano determinare situazioni di iscritti che esercitino l’attività pur se sospesi;</w:t>
      </w:r>
    </w:p>
    <w:p w:rsidR="00B74162" w:rsidRDefault="00B74162" w:rsidP="00F423B7">
      <w:pPr>
        <w:jc w:val="center"/>
      </w:pPr>
      <w:r>
        <w:t>rilevato</w:t>
      </w:r>
    </w:p>
    <w:p w:rsidR="00B74162" w:rsidRDefault="00B74162" w:rsidP="00F423B7">
      <w:pPr>
        <w:jc w:val="both"/>
      </w:pPr>
      <w:r>
        <w:t>che né la legge professionale vigente né i successivi regolamenti determinano le procedure e gli effetti di tali provvedimenti, non potendo considerare più vigente la Legge 536/1949 che, all’art. 2 comma II°, prevedeva che gli iscritti potevano essere sospesi osservate le forme del procedimento disciplinare;</w:t>
      </w:r>
    </w:p>
    <w:p w:rsidR="00B74162" w:rsidRDefault="00B74162" w:rsidP="00F423B7">
      <w:pPr>
        <w:jc w:val="center"/>
      </w:pPr>
      <w:r>
        <w:t>ritenuto</w:t>
      </w:r>
    </w:p>
    <w:p w:rsidR="00B74162" w:rsidRDefault="00B74162" w:rsidP="00F423B7">
      <w:pPr>
        <w:jc w:val="both"/>
      </w:pPr>
      <w:r>
        <w:t>di poter condividere il principio sancito dalla Corte di Cassazione a SSUU con la sentenza n. 7666 del 24.3.2017 con cui, richiamando una precedente decisione n. 9491 del 2004, ha affermato che, stante anche la natura amministrativa e non disciplinare del provvedimento, la sospensione per il mancato versamento dei contributi è immediatamente esecutiva, prevedendo la norma (art. 29 comma 6) implicitamente la detta esecutività fino all’avvenuto pagamento, a cui solo consegue la revoca;</w:t>
      </w:r>
    </w:p>
    <w:p w:rsidR="00B74162" w:rsidRDefault="00B74162" w:rsidP="00F423B7">
      <w:pPr>
        <w:jc w:val="both"/>
      </w:pPr>
      <w:r>
        <w:t>che tale principio è stato condiviso anche dal Consiglio Nazionale Forense con la sentenza n. 129 del 23.10.2018;</w:t>
      </w:r>
    </w:p>
    <w:p w:rsidR="00D26CF0" w:rsidRDefault="00B74162" w:rsidP="00D26CF0">
      <w:pPr>
        <w:spacing w:before="120" w:after="120"/>
        <w:jc w:val="both"/>
        <w:rPr>
          <w:rFonts w:cs="Times New Roman"/>
          <w:bCs/>
          <w:iCs/>
        </w:rPr>
      </w:pPr>
      <w:r w:rsidRPr="006B3BEF">
        <w:rPr>
          <w:rFonts w:cs="Times New Roman"/>
          <w:bCs/>
          <w:iCs/>
        </w:rPr>
        <w:t>tutto ciò premesso</w:t>
      </w:r>
    </w:p>
    <w:p w:rsidR="00B74162" w:rsidRDefault="00B74162" w:rsidP="00D26CF0">
      <w:pPr>
        <w:spacing w:before="120" w:after="120"/>
        <w:jc w:val="center"/>
      </w:pPr>
      <w:r>
        <w:rPr>
          <w:rFonts w:cs="Times New Roman"/>
          <w:b/>
        </w:rPr>
        <w:t>DELIBERA</w:t>
      </w:r>
    </w:p>
    <w:p w:rsidR="00B74162" w:rsidRDefault="00B74162" w:rsidP="00D26CF0">
      <w:pPr>
        <w:spacing w:before="120" w:after="120"/>
        <w:jc w:val="both"/>
      </w:pPr>
      <w:r>
        <w:t xml:space="preserve">A) i provvedimenti di sospensione ex art. 29 comma 6 Legge 247/2012, </w:t>
      </w:r>
      <w:r w:rsidRPr="006B3BEF">
        <w:t>adottati nel rispetto della procedura ivi prevista,</w:t>
      </w:r>
      <w:r>
        <w:t xml:space="preserve"> sono immediatamente esecutivi;</w:t>
      </w:r>
    </w:p>
    <w:p w:rsidR="00B74162" w:rsidRDefault="00B74162" w:rsidP="00F423B7">
      <w:pPr>
        <w:spacing w:after="120"/>
        <w:jc w:val="both"/>
      </w:pPr>
      <w:r>
        <w:t xml:space="preserve">B) gli effetti della sospensione decorrono per gli iscritti al momento in cui il provvedimento è loro comunicato e si considera realizzato ciò con l’inoltro della </w:t>
      </w:r>
      <w:proofErr w:type="spellStart"/>
      <w:r>
        <w:t>pec</w:t>
      </w:r>
      <w:proofErr w:type="spellEnd"/>
      <w:r>
        <w:t xml:space="preserve"> o, per coloro che non avessero un indirizzo </w:t>
      </w:r>
      <w:proofErr w:type="spellStart"/>
      <w:r>
        <w:t>pec</w:t>
      </w:r>
      <w:proofErr w:type="spellEnd"/>
      <w:r>
        <w:t>,</w:t>
      </w:r>
      <w:r w:rsidR="00055B9F">
        <w:t xml:space="preserve"> con il completamento del procedimento </w:t>
      </w:r>
      <w:proofErr w:type="spellStart"/>
      <w:r w:rsidR="00055B9F">
        <w:t>notificatorio</w:t>
      </w:r>
      <w:proofErr w:type="spellEnd"/>
      <w:r>
        <w:t>;</w:t>
      </w:r>
    </w:p>
    <w:p w:rsidR="00B74162" w:rsidRDefault="00B74162" w:rsidP="00F423B7">
      <w:pPr>
        <w:spacing w:after="120"/>
        <w:jc w:val="both"/>
      </w:pPr>
      <w:r>
        <w:t xml:space="preserve">C) gli uffici di segreteria dell’Ordine provvederanno agli adempimenti di comunicazione agli iscritti il giorno successivo all’adozione della relativa delibera, provvedendo poi alle prescritte comunicazioni di legge non appena realizzate le </w:t>
      </w:r>
      <w:r w:rsidR="00055B9F">
        <w:t xml:space="preserve">modalità </w:t>
      </w:r>
      <w:r>
        <w:t>di comunicazione</w:t>
      </w:r>
      <w:r w:rsidR="00055B9F">
        <w:t xml:space="preserve"> e/o notifica</w:t>
      </w:r>
      <w:r>
        <w:t xml:space="preserve"> previste al punto B;</w:t>
      </w:r>
    </w:p>
    <w:p w:rsidR="00B74162" w:rsidRDefault="00B74162" w:rsidP="00F423B7">
      <w:pPr>
        <w:jc w:val="both"/>
      </w:pPr>
    </w:p>
    <w:p w:rsidR="00B74162" w:rsidRDefault="00B74162" w:rsidP="00F423B7">
      <w:pPr>
        <w:jc w:val="both"/>
      </w:pPr>
    </w:p>
    <w:p w:rsidR="00B74162" w:rsidRDefault="00B74162" w:rsidP="00F423B7">
      <w:pPr>
        <w:jc w:val="both"/>
      </w:pPr>
      <w:r>
        <w:t>La presente delibera è stata adottata all’unanimità dei presenti alle ore</w:t>
      </w:r>
      <w:r w:rsidR="00D26CF0">
        <w:t xml:space="preserve"> 15,15.</w:t>
      </w:r>
      <w:r>
        <w:tab/>
      </w:r>
    </w:p>
    <w:p w:rsidR="00B74162" w:rsidRDefault="00B74162" w:rsidP="00F423B7">
      <w:pPr>
        <w:spacing w:line="360" w:lineRule="auto"/>
        <w:jc w:val="both"/>
        <w:rPr>
          <w:rFonts w:cs="Times New Roman"/>
          <w:bCs/>
          <w:iCs/>
        </w:rPr>
      </w:pPr>
    </w:p>
    <w:p w:rsidR="00C41BE8" w:rsidRDefault="00C41BE8" w:rsidP="00F423B7">
      <w:pPr>
        <w:spacing w:line="360" w:lineRule="auto"/>
        <w:jc w:val="center"/>
        <w:rPr>
          <w:b/>
        </w:rPr>
      </w:pPr>
      <w:r>
        <w:rPr>
          <w:b/>
        </w:rPr>
        <w:t xml:space="preserve">Il Consigliere Segretario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Il Presidente</w:t>
      </w:r>
    </w:p>
    <w:p w:rsidR="00C41BE8" w:rsidRDefault="00C41BE8" w:rsidP="00C41BE8">
      <w:pPr>
        <w:spacing w:line="360" w:lineRule="auto"/>
        <w:jc w:val="center"/>
        <w:rPr>
          <w:b/>
        </w:rPr>
      </w:pPr>
    </w:p>
    <w:sectPr w:rsidR="00C41BE8" w:rsidSect="00D26CF0">
      <w:pgSz w:w="11906" w:h="16838"/>
      <w:pgMar w:top="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F41B6A"/>
    <w:multiLevelType w:val="hybridMultilevel"/>
    <w:tmpl w:val="E04424EE"/>
    <w:lvl w:ilvl="0" w:tplc="A9D009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E8"/>
    <w:rsid w:val="00055B9F"/>
    <w:rsid w:val="00152EB0"/>
    <w:rsid w:val="002101A1"/>
    <w:rsid w:val="006B3BEF"/>
    <w:rsid w:val="00B30D98"/>
    <w:rsid w:val="00B74162"/>
    <w:rsid w:val="00C41BE8"/>
    <w:rsid w:val="00D26CF0"/>
    <w:rsid w:val="00F4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B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4">
    <w:name w:val="heading 4"/>
    <w:basedOn w:val="Normale"/>
    <w:next w:val="Corpotesto"/>
    <w:link w:val="Titolo4Carattere"/>
    <w:qFormat/>
    <w:rsid w:val="00C41BE8"/>
    <w:pPr>
      <w:keepNext/>
      <w:widowControl/>
      <w:numPr>
        <w:ilvl w:val="3"/>
        <w:numId w:val="1"/>
      </w:numPr>
      <w:pBdr>
        <w:top w:val="single" w:sz="4" w:space="1" w:color="000000"/>
        <w:left w:val="single" w:sz="4" w:space="0" w:color="000000"/>
        <w:bottom w:val="single" w:sz="4" w:space="0" w:color="000000"/>
        <w:right w:val="single" w:sz="4" w:space="0" w:color="000000"/>
      </w:pBdr>
      <w:spacing w:line="360" w:lineRule="auto"/>
      <w:ind w:left="567" w:right="849" w:firstLine="0"/>
      <w:jc w:val="both"/>
      <w:outlineLvl w:val="3"/>
    </w:pPr>
    <w:rPr>
      <w:rFonts w:eastAsia="Times New Roman" w:cs="Times New Roman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41BE8"/>
    <w:rPr>
      <w:rFonts w:ascii="Times New Roman" w:eastAsia="Times New Roman" w:hAnsi="Times New Roman" w:cs="Times New Roman"/>
      <w:kern w:val="1"/>
      <w:sz w:val="26"/>
      <w:szCs w:val="20"/>
      <w:u w:val="single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1BE8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1BE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E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E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B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4">
    <w:name w:val="heading 4"/>
    <w:basedOn w:val="Normale"/>
    <w:next w:val="Corpotesto"/>
    <w:link w:val="Titolo4Carattere"/>
    <w:qFormat/>
    <w:rsid w:val="00C41BE8"/>
    <w:pPr>
      <w:keepNext/>
      <w:widowControl/>
      <w:numPr>
        <w:ilvl w:val="3"/>
        <w:numId w:val="1"/>
      </w:numPr>
      <w:pBdr>
        <w:top w:val="single" w:sz="4" w:space="1" w:color="000000"/>
        <w:left w:val="single" w:sz="4" w:space="0" w:color="000000"/>
        <w:bottom w:val="single" w:sz="4" w:space="0" w:color="000000"/>
        <w:right w:val="single" w:sz="4" w:space="0" w:color="000000"/>
      </w:pBdr>
      <w:spacing w:line="360" w:lineRule="auto"/>
      <w:ind w:left="567" w:right="849" w:firstLine="0"/>
      <w:jc w:val="both"/>
      <w:outlineLvl w:val="3"/>
    </w:pPr>
    <w:rPr>
      <w:rFonts w:eastAsia="Times New Roman" w:cs="Times New Roman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41BE8"/>
    <w:rPr>
      <w:rFonts w:ascii="Times New Roman" w:eastAsia="Times New Roman" w:hAnsi="Times New Roman" w:cs="Times New Roman"/>
      <w:kern w:val="1"/>
      <w:sz w:val="26"/>
      <w:szCs w:val="20"/>
      <w:u w:val="single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1BE8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1BE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E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E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Serena</cp:lastModifiedBy>
  <cp:revision>7</cp:revision>
  <dcterms:created xsi:type="dcterms:W3CDTF">2019-03-27T17:11:00Z</dcterms:created>
  <dcterms:modified xsi:type="dcterms:W3CDTF">2019-04-18T14:30:00Z</dcterms:modified>
</cp:coreProperties>
</file>