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43CD1" w14:textId="7F2BA3BB" w:rsidR="00CE6AAF" w:rsidRDefault="00CE6AAF" w:rsidP="004A34E7">
      <w:pPr>
        <w:shd w:val="clear" w:color="auto" w:fill="FFFFFF"/>
        <w:spacing w:after="0" w:line="360" w:lineRule="auto"/>
        <w:jc w:val="center"/>
        <w:textAlignment w:val="baseline"/>
        <w:rPr>
          <w:rFonts w:ascii="Arial" w:hAnsi="Arial" w:cs="Arial"/>
          <w:b/>
          <w:sz w:val="24"/>
          <w:szCs w:val="24"/>
        </w:rPr>
      </w:pPr>
      <w:bookmarkStart w:id="0" w:name="_GoBack"/>
      <w:bookmarkEnd w:id="0"/>
      <w:r>
        <w:rPr>
          <w:rFonts w:ascii="Arial" w:hAnsi="Arial" w:cs="Arial"/>
          <w:b/>
          <w:sz w:val="24"/>
          <w:szCs w:val="24"/>
        </w:rPr>
        <w:t>Consiglio di Stato, sentenza 30 aprile 2020, n. 2764</w:t>
      </w:r>
    </w:p>
    <w:p w14:paraId="483549CC" w14:textId="34E4F157" w:rsidR="00CE6AAF" w:rsidRPr="00812116" w:rsidRDefault="00CE6AAF" w:rsidP="004A34E7">
      <w:pPr>
        <w:shd w:val="clear" w:color="auto" w:fill="FFFFFF"/>
        <w:spacing w:after="0" w:line="360" w:lineRule="auto"/>
        <w:jc w:val="center"/>
        <w:textAlignment w:val="baseline"/>
        <w:rPr>
          <w:rFonts w:ascii="Arial" w:hAnsi="Arial" w:cs="Arial"/>
          <w:b/>
          <w:i/>
          <w:sz w:val="24"/>
          <w:szCs w:val="24"/>
        </w:rPr>
      </w:pPr>
      <w:r w:rsidRPr="00812116">
        <w:rPr>
          <w:rFonts w:ascii="Arial" w:hAnsi="Arial" w:cs="Arial"/>
          <w:b/>
          <w:i/>
          <w:sz w:val="24"/>
          <w:szCs w:val="24"/>
        </w:rPr>
        <w:t xml:space="preserve">Conferma dell’annullamento del provvedimento AGCM </w:t>
      </w:r>
      <w:r w:rsidR="00085504" w:rsidRPr="00812116">
        <w:rPr>
          <w:rFonts w:ascii="Arial" w:hAnsi="Arial" w:cs="Arial"/>
          <w:b/>
          <w:i/>
          <w:sz w:val="24"/>
          <w:szCs w:val="24"/>
        </w:rPr>
        <w:t>n. 25868/2016</w:t>
      </w:r>
      <w:r w:rsidR="00085504" w:rsidRPr="00812116">
        <w:rPr>
          <w:rFonts w:ascii="Arial" w:hAnsi="Arial" w:cs="Arial"/>
          <w:b/>
          <w:i/>
          <w:sz w:val="24"/>
          <w:szCs w:val="24"/>
        </w:rPr>
        <w:br/>
        <w:t>di inottemperanza del CNF al provvedimento AGCM n. 25154/2014</w:t>
      </w:r>
    </w:p>
    <w:p w14:paraId="1567FF20" w14:textId="32B97D0E" w:rsidR="007965D0" w:rsidRPr="00812116" w:rsidRDefault="007965D0" w:rsidP="007965D0">
      <w:pPr>
        <w:shd w:val="clear" w:color="auto" w:fill="FFFFFF"/>
        <w:spacing w:after="0" w:line="360" w:lineRule="auto"/>
        <w:jc w:val="center"/>
        <w:textAlignment w:val="baseline"/>
        <w:rPr>
          <w:rFonts w:ascii="Arial" w:hAnsi="Arial" w:cs="Arial"/>
          <w:b/>
          <w:i/>
          <w:sz w:val="20"/>
          <w:szCs w:val="24"/>
        </w:rPr>
      </w:pPr>
    </w:p>
    <w:p w14:paraId="51B33788" w14:textId="1C16972F" w:rsidR="007965D0" w:rsidRDefault="007965D0" w:rsidP="007965D0">
      <w:pPr>
        <w:shd w:val="clear" w:color="auto" w:fill="FFFFFF"/>
        <w:spacing w:after="0" w:line="360" w:lineRule="auto"/>
        <w:jc w:val="center"/>
        <w:textAlignment w:val="baseline"/>
        <w:rPr>
          <w:rFonts w:ascii="Arial" w:hAnsi="Arial" w:cs="Arial"/>
          <w:i/>
          <w:sz w:val="24"/>
          <w:szCs w:val="24"/>
        </w:rPr>
      </w:pPr>
      <w:r>
        <w:rPr>
          <w:rFonts w:ascii="Arial" w:hAnsi="Arial" w:cs="Arial"/>
          <w:i/>
          <w:sz w:val="24"/>
          <w:szCs w:val="24"/>
        </w:rPr>
        <w:t>Roma,</w:t>
      </w:r>
      <w:r w:rsidRPr="00D44A2C">
        <w:rPr>
          <w:rFonts w:ascii="Arial" w:hAnsi="Arial" w:cs="Arial"/>
          <w:i/>
          <w:sz w:val="24"/>
          <w:szCs w:val="24"/>
        </w:rPr>
        <w:t xml:space="preserve"> </w:t>
      </w:r>
      <w:r w:rsidR="00FE230D">
        <w:rPr>
          <w:rFonts w:ascii="Arial" w:hAnsi="Arial" w:cs="Arial"/>
          <w:i/>
          <w:sz w:val="24"/>
          <w:szCs w:val="24"/>
        </w:rPr>
        <w:t>30</w:t>
      </w:r>
      <w:r>
        <w:rPr>
          <w:rFonts w:ascii="Arial" w:hAnsi="Arial" w:cs="Arial"/>
          <w:i/>
          <w:sz w:val="24"/>
          <w:szCs w:val="24"/>
        </w:rPr>
        <w:t xml:space="preserve"> aprile</w:t>
      </w:r>
      <w:r w:rsidRPr="00D44A2C">
        <w:rPr>
          <w:rFonts w:ascii="Arial" w:hAnsi="Arial" w:cs="Arial"/>
          <w:i/>
          <w:sz w:val="24"/>
          <w:szCs w:val="24"/>
        </w:rPr>
        <w:t xml:space="preserve"> 2020 </w:t>
      </w:r>
    </w:p>
    <w:p w14:paraId="29B29DF9" w14:textId="444D6812" w:rsidR="00FE230D" w:rsidRPr="00812116" w:rsidRDefault="00FE230D" w:rsidP="007965D0">
      <w:pPr>
        <w:shd w:val="clear" w:color="auto" w:fill="FFFFFF"/>
        <w:spacing w:after="0" w:line="360" w:lineRule="auto"/>
        <w:jc w:val="center"/>
        <w:textAlignment w:val="baseline"/>
        <w:rPr>
          <w:rFonts w:ascii="Arial" w:hAnsi="Arial" w:cs="Arial"/>
          <w:i/>
          <w:szCs w:val="24"/>
        </w:rPr>
      </w:pPr>
      <w:r w:rsidRPr="00812116">
        <w:rPr>
          <w:rFonts w:ascii="Arial" w:hAnsi="Arial" w:cs="Arial"/>
          <w:i/>
          <w:szCs w:val="24"/>
        </w:rPr>
        <w:t>(scheda n. 4</w:t>
      </w:r>
      <w:r w:rsidR="00B05C7C" w:rsidRPr="00812116">
        <w:rPr>
          <w:rFonts w:ascii="Arial" w:hAnsi="Arial" w:cs="Arial"/>
          <w:i/>
          <w:szCs w:val="24"/>
        </w:rPr>
        <w:t>1</w:t>
      </w:r>
      <w:r w:rsidRPr="00812116">
        <w:rPr>
          <w:rFonts w:ascii="Arial" w:hAnsi="Arial" w:cs="Arial"/>
          <w:i/>
          <w:szCs w:val="24"/>
        </w:rPr>
        <w:t>/2020)</w:t>
      </w:r>
    </w:p>
    <w:p w14:paraId="735D22FD" w14:textId="77777777" w:rsidR="00B05C7C" w:rsidRPr="00812116" w:rsidRDefault="00B05C7C" w:rsidP="00B05C7C">
      <w:pPr>
        <w:ind w:left="360"/>
        <w:jc w:val="center"/>
        <w:rPr>
          <w:b/>
          <w:sz w:val="18"/>
        </w:rPr>
      </w:pPr>
    </w:p>
    <w:p w14:paraId="00FCE264" w14:textId="7FBE96A4" w:rsidR="00E7315A" w:rsidRDefault="00DD17EA" w:rsidP="00E7315A">
      <w:pPr>
        <w:ind w:firstLine="708"/>
        <w:jc w:val="both"/>
        <w:rPr>
          <w:rFonts w:ascii="Arial" w:hAnsi="Arial" w:cs="Arial"/>
        </w:rPr>
      </w:pPr>
      <w:r>
        <w:rPr>
          <w:rFonts w:ascii="Arial" w:hAnsi="Arial" w:cs="Arial"/>
        </w:rPr>
        <w:t xml:space="preserve">Con la </w:t>
      </w:r>
      <w:hyperlink r:id="rId9" w:history="1">
        <w:r w:rsidRPr="003779BC">
          <w:rPr>
            <w:rStyle w:val="Collegamentoipertestuale"/>
            <w:rFonts w:ascii="Arial" w:hAnsi="Arial" w:cs="Arial"/>
            <w:b/>
          </w:rPr>
          <w:t>sentenza 30 aprile 2020, n. 2764</w:t>
        </w:r>
      </w:hyperlink>
      <w:r>
        <w:rPr>
          <w:rFonts w:ascii="Arial" w:hAnsi="Arial" w:cs="Arial"/>
        </w:rPr>
        <w:t>, il Consiglio di Stato ha respinto il ricorso presentato dall’AGCM per la riforma della sentenza TAR Lazio 11 novembre 2016, n. 11169, che aveva annullato il provvedimento Antitrust del 10 febbraio 2016, con il quale era stata dichiarata l’inottemperanza del Consiglio Nazionale Forense al provvedimento AGCM n. 25154 del 22 ottobre 2014</w:t>
      </w:r>
      <w:r w:rsidR="00DF485F">
        <w:rPr>
          <w:rFonts w:ascii="Arial" w:hAnsi="Arial" w:cs="Arial"/>
        </w:rPr>
        <w:t xml:space="preserve"> e comminata una </w:t>
      </w:r>
      <w:r>
        <w:rPr>
          <w:rFonts w:ascii="Arial" w:hAnsi="Arial" w:cs="Arial"/>
        </w:rPr>
        <w:t>sanzione amministrativa pecuniaria di €912,536,40.</w:t>
      </w:r>
      <w:r w:rsidR="00E7315A">
        <w:rPr>
          <w:rFonts w:ascii="Arial" w:hAnsi="Arial" w:cs="Arial"/>
        </w:rPr>
        <w:t xml:space="preserve"> </w:t>
      </w:r>
    </w:p>
    <w:p w14:paraId="41912497" w14:textId="26F20447" w:rsidR="00047812" w:rsidRDefault="00E7315A" w:rsidP="008A1D8A">
      <w:pPr>
        <w:ind w:firstLine="708"/>
        <w:jc w:val="both"/>
        <w:rPr>
          <w:rFonts w:ascii="Arial" w:hAnsi="Arial" w:cs="Arial"/>
        </w:rPr>
      </w:pPr>
      <w:r>
        <w:rPr>
          <w:rFonts w:ascii="Arial" w:hAnsi="Arial" w:cs="Arial"/>
        </w:rPr>
        <w:t xml:space="preserve">La vicenda prende le mosse dal noto procedimento </w:t>
      </w:r>
      <w:r w:rsidR="00DF485F">
        <w:rPr>
          <w:rFonts w:ascii="Arial" w:hAnsi="Arial" w:cs="Arial"/>
        </w:rPr>
        <w:t xml:space="preserve">avente ad oggetto </w:t>
      </w:r>
      <w:r>
        <w:rPr>
          <w:rFonts w:ascii="Arial" w:hAnsi="Arial" w:cs="Arial"/>
        </w:rPr>
        <w:t>condotte restrittive del CNF (</w:t>
      </w:r>
      <w:hyperlink r:id="rId10" w:history="1">
        <w:r w:rsidRPr="000B7C6D">
          <w:rPr>
            <w:rStyle w:val="Collegamentoipertestuale"/>
            <w:rFonts w:ascii="Arial" w:hAnsi="Arial" w:cs="Arial"/>
          </w:rPr>
          <w:t>I748</w:t>
        </w:r>
      </w:hyperlink>
      <w:r>
        <w:rPr>
          <w:rFonts w:ascii="Arial" w:hAnsi="Arial" w:cs="Arial"/>
        </w:rPr>
        <w:t xml:space="preserve">), </w:t>
      </w:r>
      <w:r w:rsidR="00F94E27">
        <w:rPr>
          <w:rFonts w:ascii="Arial" w:hAnsi="Arial" w:cs="Arial"/>
        </w:rPr>
        <w:t>avviato dall’A</w:t>
      </w:r>
      <w:r w:rsidR="008A1D8A">
        <w:rPr>
          <w:rFonts w:ascii="Arial" w:hAnsi="Arial" w:cs="Arial"/>
        </w:rPr>
        <w:t xml:space="preserve">GCM </w:t>
      </w:r>
      <w:r w:rsidR="00F94E27">
        <w:rPr>
          <w:rFonts w:ascii="Arial" w:hAnsi="Arial" w:cs="Arial"/>
        </w:rPr>
        <w:t>il 16</w:t>
      </w:r>
      <w:r w:rsidR="008A1D8A">
        <w:rPr>
          <w:rFonts w:ascii="Arial" w:hAnsi="Arial" w:cs="Arial"/>
        </w:rPr>
        <w:t xml:space="preserve"> luglio </w:t>
      </w:r>
      <w:r w:rsidR="00F94E27">
        <w:rPr>
          <w:rFonts w:ascii="Arial" w:hAnsi="Arial" w:cs="Arial"/>
        </w:rPr>
        <w:t>2013 in ragione della pubblicazione sul sito web del Consiglio della circolare 22-C-2006, quale premessa al</w:t>
      </w:r>
      <w:r w:rsidR="001D09B3">
        <w:rPr>
          <w:rFonts w:ascii="Arial" w:hAnsi="Arial" w:cs="Arial"/>
        </w:rPr>
        <w:t>l’abrogato</w:t>
      </w:r>
      <w:r w:rsidR="00F94E27">
        <w:rPr>
          <w:rFonts w:ascii="Arial" w:hAnsi="Arial" w:cs="Arial"/>
        </w:rPr>
        <w:t xml:space="preserve"> DM 172/2014 </w:t>
      </w:r>
      <w:r w:rsidR="001D09B3">
        <w:rPr>
          <w:rFonts w:ascii="Arial" w:hAnsi="Arial" w:cs="Arial"/>
        </w:rPr>
        <w:t xml:space="preserve">recante </w:t>
      </w:r>
      <w:r w:rsidR="001D09B3">
        <w:rPr>
          <w:rFonts w:ascii="Arial" w:hAnsi="Arial" w:cs="Arial"/>
          <w:i/>
        </w:rPr>
        <w:t>Nuovo tariffario forense</w:t>
      </w:r>
      <w:r w:rsidR="00F94E27">
        <w:rPr>
          <w:rFonts w:ascii="Arial" w:hAnsi="Arial" w:cs="Arial"/>
        </w:rPr>
        <w:t xml:space="preserve">, nonché del parere </w:t>
      </w:r>
      <w:r w:rsidR="001D09B3">
        <w:rPr>
          <w:rFonts w:ascii="Arial" w:hAnsi="Arial" w:cs="Arial"/>
        </w:rPr>
        <w:t xml:space="preserve">CNF n. </w:t>
      </w:r>
      <w:r w:rsidR="00F94E27">
        <w:rPr>
          <w:rFonts w:ascii="Arial" w:hAnsi="Arial" w:cs="Arial"/>
        </w:rPr>
        <w:t>48/2012</w:t>
      </w:r>
      <w:r w:rsidR="00B536C4">
        <w:rPr>
          <w:rFonts w:ascii="Arial" w:hAnsi="Arial" w:cs="Arial"/>
        </w:rPr>
        <w:t>, che stigmatizzava il possibile rilievo deontologico dell’uso di piattaforme digitali come quella denominata Amica Card. Il procedimento si concludeva</w:t>
      </w:r>
      <w:r w:rsidR="008D408A">
        <w:rPr>
          <w:rFonts w:ascii="Arial" w:hAnsi="Arial" w:cs="Arial"/>
        </w:rPr>
        <w:t xml:space="preserve"> </w:t>
      </w:r>
      <w:r w:rsidR="00B536C4">
        <w:rPr>
          <w:rFonts w:ascii="Arial" w:hAnsi="Arial" w:cs="Arial"/>
        </w:rPr>
        <w:t>con l’accertamento della violazione</w:t>
      </w:r>
      <w:r w:rsidR="00DF485F">
        <w:rPr>
          <w:rFonts w:ascii="Arial" w:hAnsi="Arial" w:cs="Arial"/>
        </w:rPr>
        <w:t>,</w:t>
      </w:r>
      <w:r w:rsidR="00B536C4">
        <w:rPr>
          <w:rFonts w:ascii="Arial" w:hAnsi="Arial" w:cs="Arial"/>
        </w:rPr>
        <w:t xml:space="preserve"> </w:t>
      </w:r>
      <w:r w:rsidR="008A1D8A">
        <w:rPr>
          <w:rFonts w:ascii="Arial" w:hAnsi="Arial" w:cs="Arial"/>
        </w:rPr>
        <w:t>ad opera del CNF</w:t>
      </w:r>
      <w:r w:rsidR="00DF485F">
        <w:rPr>
          <w:rFonts w:ascii="Arial" w:hAnsi="Arial" w:cs="Arial"/>
        </w:rPr>
        <w:t>,</w:t>
      </w:r>
      <w:r w:rsidR="008A1D8A">
        <w:rPr>
          <w:rFonts w:ascii="Arial" w:hAnsi="Arial" w:cs="Arial"/>
        </w:rPr>
        <w:t xml:space="preserve"> </w:t>
      </w:r>
      <w:r w:rsidR="00B536C4">
        <w:rPr>
          <w:rFonts w:ascii="Arial" w:hAnsi="Arial" w:cs="Arial"/>
        </w:rPr>
        <w:t>dell’art. 101 TFUE</w:t>
      </w:r>
      <w:r w:rsidR="00DF485F">
        <w:rPr>
          <w:rFonts w:ascii="Arial" w:hAnsi="Arial" w:cs="Arial"/>
        </w:rPr>
        <w:t xml:space="preserve"> (</w:t>
      </w:r>
      <w:hyperlink r:id="rId11" w:history="1">
        <w:r w:rsidR="00DF485F" w:rsidRPr="00295103">
          <w:rPr>
            <w:rStyle w:val="Collegamentoipertestuale"/>
            <w:rFonts w:ascii="Arial" w:hAnsi="Arial" w:cs="Arial"/>
          </w:rPr>
          <w:t>delibera 22 ottobre 2014, n. 25124</w:t>
        </w:r>
      </w:hyperlink>
      <w:r w:rsidR="00DF485F">
        <w:rPr>
          <w:rFonts w:ascii="Arial" w:hAnsi="Arial" w:cs="Arial"/>
        </w:rPr>
        <w:t>)</w:t>
      </w:r>
      <w:r w:rsidR="00B536C4">
        <w:rPr>
          <w:rFonts w:ascii="Arial" w:hAnsi="Arial" w:cs="Arial"/>
        </w:rPr>
        <w:t xml:space="preserve">, in quanto l’Autorità riteneva </w:t>
      </w:r>
      <w:r w:rsidR="008A1D8A">
        <w:rPr>
          <w:rFonts w:ascii="Arial" w:hAnsi="Arial" w:cs="Arial"/>
        </w:rPr>
        <w:t xml:space="preserve">che le due decisioni (la pubblicazione della circolare sul sito ed il parere in questione) configuravano un’intesa </w:t>
      </w:r>
      <w:r w:rsidR="00B536C4">
        <w:rPr>
          <w:rFonts w:ascii="Arial" w:hAnsi="Arial" w:cs="Arial"/>
        </w:rPr>
        <w:t>restrittiva della concorrenza, volt</w:t>
      </w:r>
      <w:r w:rsidR="008A1D8A">
        <w:rPr>
          <w:rFonts w:ascii="Arial" w:hAnsi="Arial" w:cs="Arial"/>
        </w:rPr>
        <w:t>a</w:t>
      </w:r>
      <w:r w:rsidR="00B536C4">
        <w:rPr>
          <w:rFonts w:ascii="Arial" w:hAnsi="Arial" w:cs="Arial"/>
        </w:rPr>
        <w:t xml:space="preserve"> a limitare l’autonomia dei professionisti</w:t>
      </w:r>
      <w:r w:rsidR="00EF2961">
        <w:rPr>
          <w:rFonts w:ascii="Arial" w:hAnsi="Arial" w:cs="Arial"/>
        </w:rPr>
        <w:t xml:space="preserve">, e irrogava </w:t>
      </w:r>
      <w:r w:rsidR="00295103">
        <w:rPr>
          <w:rFonts w:ascii="Arial" w:hAnsi="Arial" w:cs="Arial"/>
        </w:rPr>
        <w:t>a carico del CNF</w:t>
      </w:r>
      <w:r w:rsidR="00EF2961">
        <w:rPr>
          <w:rFonts w:ascii="Arial" w:hAnsi="Arial" w:cs="Arial"/>
        </w:rPr>
        <w:t xml:space="preserve"> una sanzione amministrativa pecuniaria di €912,536,40</w:t>
      </w:r>
      <w:r w:rsidR="00B536C4">
        <w:rPr>
          <w:rFonts w:ascii="Arial" w:hAnsi="Arial" w:cs="Arial"/>
        </w:rPr>
        <w:t>. Il provvedimento</w:t>
      </w:r>
      <w:r w:rsidR="00EF2961">
        <w:rPr>
          <w:rFonts w:ascii="Arial" w:hAnsi="Arial" w:cs="Arial"/>
        </w:rPr>
        <w:t xml:space="preserve"> veniva riformato parzialmente in sede di impugnazione dal giudice amministrativo</w:t>
      </w:r>
      <w:r w:rsidR="008D408A">
        <w:rPr>
          <w:rFonts w:ascii="Arial" w:hAnsi="Arial" w:cs="Arial"/>
        </w:rPr>
        <w:t xml:space="preserve"> (</w:t>
      </w:r>
      <w:hyperlink r:id="rId12" w:history="1">
        <w:r w:rsidR="008D408A" w:rsidRPr="00295103">
          <w:rPr>
            <w:rStyle w:val="Collegamentoipertestuale"/>
            <w:rFonts w:ascii="Arial" w:hAnsi="Arial" w:cs="Arial"/>
          </w:rPr>
          <w:t>TAR Lazio, sentenza 1 luglio 2015, n. 8778</w:t>
        </w:r>
      </w:hyperlink>
      <w:r w:rsidR="008D408A">
        <w:rPr>
          <w:rFonts w:ascii="Arial" w:hAnsi="Arial" w:cs="Arial"/>
        </w:rPr>
        <w:t>)</w:t>
      </w:r>
      <w:r w:rsidR="00EF2961">
        <w:rPr>
          <w:rFonts w:ascii="Arial" w:hAnsi="Arial" w:cs="Arial"/>
        </w:rPr>
        <w:t xml:space="preserve">, </w:t>
      </w:r>
      <w:r w:rsidR="00295103">
        <w:rPr>
          <w:rFonts w:ascii="Arial" w:hAnsi="Arial" w:cs="Arial"/>
        </w:rPr>
        <w:t xml:space="preserve">che </w:t>
      </w:r>
      <w:r w:rsidR="00EF2961">
        <w:rPr>
          <w:rFonts w:ascii="Arial" w:hAnsi="Arial" w:cs="Arial"/>
        </w:rPr>
        <w:t xml:space="preserve">escludeva la natura anticoncorrenziale della ripubblicazione della circolare e rimetteva all’AGCM la rideterminazione del nuovo ammontare della sanzione. </w:t>
      </w:r>
      <w:r w:rsidR="008D408A">
        <w:rPr>
          <w:rFonts w:ascii="Arial" w:hAnsi="Arial" w:cs="Arial"/>
        </w:rPr>
        <w:t>La decisione veniva impugnata davanti al Consiglio di Stato</w:t>
      </w:r>
      <w:r w:rsidR="00C028FC">
        <w:rPr>
          <w:rFonts w:ascii="Arial" w:hAnsi="Arial" w:cs="Arial"/>
        </w:rPr>
        <w:t xml:space="preserve"> che</w:t>
      </w:r>
      <w:r w:rsidR="00357F07">
        <w:rPr>
          <w:rFonts w:ascii="Arial" w:hAnsi="Arial" w:cs="Arial"/>
        </w:rPr>
        <w:t>,</w:t>
      </w:r>
      <w:r w:rsidR="00C028FC">
        <w:rPr>
          <w:rFonts w:ascii="Arial" w:hAnsi="Arial" w:cs="Arial"/>
        </w:rPr>
        <w:t xml:space="preserve"> con la </w:t>
      </w:r>
      <w:hyperlink r:id="rId13" w:history="1">
        <w:r w:rsidR="00C028FC" w:rsidRPr="00357F07">
          <w:rPr>
            <w:rStyle w:val="Collegamentoipertestuale"/>
            <w:rFonts w:ascii="Arial" w:hAnsi="Arial" w:cs="Arial"/>
          </w:rPr>
          <w:t>sentenza 22 marzo 2016, n. 1164</w:t>
        </w:r>
      </w:hyperlink>
      <w:r w:rsidR="00C028FC">
        <w:rPr>
          <w:rFonts w:ascii="Arial" w:hAnsi="Arial" w:cs="Arial"/>
        </w:rPr>
        <w:t>, accoglieva l’appello parziale proposto dall’Autorità, ritenendo legittimo il provvedimento impugnato e rigettando le censure proposte dal CNF.</w:t>
      </w:r>
    </w:p>
    <w:p w14:paraId="2631B673" w14:textId="77777777" w:rsidR="00544F7D" w:rsidRDefault="00EF2961" w:rsidP="000132C8">
      <w:pPr>
        <w:ind w:firstLine="708"/>
        <w:jc w:val="both"/>
        <w:rPr>
          <w:rFonts w:ascii="Arial" w:hAnsi="Arial" w:cs="Arial"/>
        </w:rPr>
      </w:pPr>
      <w:r>
        <w:rPr>
          <w:rFonts w:ascii="Arial" w:hAnsi="Arial" w:cs="Arial"/>
        </w:rPr>
        <w:t xml:space="preserve">Nelle more, </w:t>
      </w:r>
      <w:r w:rsidR="008D408A">
        <w:rPr>
          <w:rFonts w:ascii="Arial" w:hAnsi="Arial" w:cs="Arial"/>
        </w:rPr>
        <w:t xml:space="preserve">pendente il giudizio </w:t>
      </w:r>
      <w:r w:rsidR="002B5C21">
        <w:rPr>
          <w:rFonts w:ascii="Arial" w:hAnsi="Arial" w:cs="Arial"/>
        </w:rPr>
        <w:t>davanti</w:t>
      </w:r>
      <w:r w:rsidR="008D408A">
        <w:rPr>
          <w:rFonts w:ascii="Arial" w:hAnsi="Arial" w:cs="Arial"/>
        </w:rPr>
        <w:t xml:space="preserve"> al TAR</w:t>
      </w:r>
      <w:r w:rsidR="00357F07">
        <w:rPr>
          <w:rFonts w:ascii="Arial" w:hAnsi="Arial" w:cs="Arial"/>
        </w:rPr>
        <w:t xml:space="preserve"> (</w:t>
      </w:r>
      <w:r w:rsidR="002B5C21">
        <w:rPr>
          <w:rFonts w:ascii="Arial" w:hAnsi="Arial" w:cs="Arial"/>
        </w:rPr>
        <w:t xml:space="preserve">e in particolare dopo l’udienza </w:t>
      </w:r>
      <w:r w:rsidR="00357F07">
        <w:rPr>
          <w:rFonts w:ascii="Arial" w:hAnsi="Arial" w:cs="Arial"/>
        </w:rPr>
        <w:t>del 25 febbraio 2015</w:t>
      </w:r>
      <w:r w:rsidR="002B5C21">
        <w:rPr>
          <w:rFonts w:ascii="Arial" w:hAnsi="Arial" w:cs="Arial"/>
        </w:rPr>
        <w:t>, nella quale</w:t>
      </w:r>
      <w:r w:rsidR="00357F07">
        <w:rPr>
          <w:rFonts w:ascii="Arial" w:hAnsi="Arial" w:cs="Arial"/>
        </w:rPr>
        <w:t xml:space="preserve"> era stato disposto il rinvio dell’esame dell’istanza di sospensione unitamente al merito)</w:t>
      </w:r>
      <w:r w:rsidR="008D408A">
        <w:rPr>
          <w:rFonts w:ascii="Arial" w:hAnsi="Arial" w:cs="Arial"/>
        </w:rPr>
        <w:t xml:space="preserve">, l’AGCM </w:t>
      </w:r>
      <w:r w:rsidR="00357F07">
        <w:rPr>
          <w:rFonts w:ascii="Arial" w:hAnsi="Arial" w:cs="Arial"/>
        </w:rPr>
        <w:t>sollecitava</w:t>
      </w:r>
      <w:r w:rsidR="008D408A">
        <w:rPr>
          <w:rFonts w:ascii="Arial" w:hAnsi="Arial" w:cs="Arial"/>
        </w:rPr>
        <w:t xml:space="preserve"> il CNF </w:t>
      </w:r>
      <w:r w:rsidR="00357F07">
        <w:rPr>
          <w:rFonts w:ascii="Arial" w:hAnsi="Arial" w:cs="Arial"/>
        </w:rPr>
        <w:t>ad adempiere e adottare misure atte a porre termine all’infrazione</w:t>
      </w:r>
      <w:r w:rsidR="00C028FC">
        <w:rPr>
          <w:rFonts w:ascii="Arial" w:hAnsi="Arial" w:cs="Arial"/>
        </w:rPr>
        <w:t xml:space="preserve">. Con </w:t>
      </w:r>
      <w:hyperlink r:id="rId14" w:history="1">
        <w:r w:rsidR="00C028FC" w:rsidRPr="002B5C21">
          <w:rPr>
            <w:rStyle w:val="Collegamentoipertestuale"/>
            <w:rFonts w:ascii="Arial" w:hAnsi="Arial" w:cs="Arial"/>
          </w:rPr>
          <w:t xml:space="preserve">provvedimento </w:t>
        </w:r>
        <w:r w:rsidR="003F7722" w:rsidRPr="002B5C21">
          <w:rPr>
            <w:rStyle w:val="Collegamentoipertestuale"/>
            <w:rFonts w:ascii="Arial" w:hAnsi="Arial" w:cs="Arial"/>
          </w:rPr>
          <w:t>27 maggio 2015, n. 25487</w:t>
        </w:r>
      </w:hyperlink>
      <w:r w:rsidR="00C028FC" w:rsidRPr="00C028FC">
        <w:rPr>
          <w:rFonts w:ascii="Arial" w:hAnsi="Arial" w:cs="Arial"/>
        </w:rPr>
        <w:t xml:space="preserve"> </w:t>
      </w:r>
      <w:r w:rsidR="00C028FC">
        <w:rPr>
          <w:rFonts w:ascii="Arial" w:hAnsi="Arial" w:cs="Arial"/>
        </w:rPr>
        <w:t xml:space="preserve">deliberava </w:t>
      </w:r>
      <w:r w:rsidR="003F7722">
        <w:rPr>
          <w:rFonts w:ascii="Arial" w:hAnsi="Arial" w:cs="Arial"/>
        </w:rPr>
        <w:t xml:space="preserve">l’avvio di un procedimento per inottemperaranza, contestando la violazione del dispositivo del provvedimento </w:t>
      </w:r>
      <w:r w:rsidR="00FB75F1">
        <w:rPr>
          <w:rFonts w:ascii="Arial" w:hAnsi="Arial" w:cs="Arial"/>
        </w:rPr>
        <w:t>del 2014</w:t>
      </w:r>
      <w:r w:rsidR="003F7722">
        <w:rPr>
          <w:rFonts w:ascii="Arial" w:hAnsi="Arial" w:cs="Arial"/>
        </w:rPr>
        <w:t>.</w:t>
      </w:r>
      <w:r w:rsidR="008D408A">
        <w:rPr>
          <w:rFonts w:ascii="Arial" w:hAnsi="Arial" w:cs="Arial"/>
        </w:rPr>
        <w:t xml:space="preserve"> </w:t>
      </w:r>
      <w:r w:rsidR="00A53D74">
        <w:rPr>
          <w:rFonts w:ascii="Arial" w:hAnsi="Arial" w:cs="Arial"/>
        </w:rPr>
        <w:t>Il CNF presentava osservazioni di replica alle contestazioni mosse e</w:t>
      </w:r>
      <w:r w:rsidR="003F7722">
        <w:rPr>
          <w:rFonts w:ascii="Arial" w:hAnsi="Arial" w:cs="Arial"/>
        </w:rPr>
        <w:t>,</w:t>
      </w:r>
      <w:r w:rsidR="00A53D74">
        <w:rPr>
          <w:rFonts w:ascii="Arial" w:hAnsi="Arial" w:cs="Arial"/>
        </w:rPr>
        <w:t xml:space="preserve"> sentito dagli Uffici, </w:t>
      </w:r>
      <w:r w:rsidR="003F7722">
        <w:rPr>
          <w:rFonts w:ascii="Arial" w:hAnsi="Arial" w:cs="Arial"/>
        </w:rPr>
        <w:t xml:space="preserve">precisava </w:t>
      </w:r>
      <w:r w:rsidR="00A53D74">
        <w:rPr>
          <w:rFonts w:ascii="Arial" w:hAnsi="Arial" w:cs="Arial"/>
        </w:rPr>
        <w:t>di aver fornito un’interpretazione autentica del parere, nonché di aver modificato l’art. 35 del Codice deontologico, ribadendo l’apertura alla libertà dei mezzi comunicativi</w:t>
      </w:r>
      <w:r w:rsidR="003F7722">
        <w:rPr>
          <w:rFonts w:ascii="Arial" w:hAnsi="Arial" w:cs="Arial"/>
        </w:rPr>
        <w:t xml:space="preserve">, ritenendo di aver così ottemperato al provvedimento del 2014. </w:t>
      </w:r>
      <w:r w:rsidR="00FB75F1">
        <w:rPr>
          <w:rFonts w:ascii="Arial" w:hAnsi="Arial" w:cs="Arial"/>
        </w:rPr>
        <w:t>Nonostante le precisazioni fornite l’</w:t>
      </w:r>
      <w:r w:rsidR="003F7722">
        <w:rPr>
          <w:rFonts w:ascii="Arial" w:hAnsi="Arial" w:cs="Arial"/>
        </w:rPr>
        <w:t xml:space="preserve">Autorità, con </w:t>
      </w:r>
      <w:hyperlink r:id="rId15" w:history="1">
        <w:r w:rsidR="003F7722" w:rsidRPr="002B5C21">
          <w:rPr>
            <w:rStyle w:val="Collegamentoipertestuale"/>
            <w:rFonts w:ascii="Arial" w:hAnsi="Arial" w:cs="Arial"/>
          </w:rPr>
          <w:t>delibera</w:t>
        </w:r>
        <w:r w:rsidR="00CD314E" w:rsidRPr="002B5C21">
          <w:rPr>
            <w:rStyle w:val="Collegamentoipertestuale"/>
            <w:rFonts w:ascii="Arial" w:hAnsi="Arial" w:cs="Arial"/>
          </w:rPr>
          <w:t xml:space="preserve"> 10 febbraio 2016, n. 25868</w:t>
        </w:r>
      </w:hyperlink>
      <w:r w:rsidR="00CD314E">
        <w:rPr>
          <w:rFonts w:ascii="Arial" w:hAnsi="Arial" w:cs="Arial"/>
        </w:rPr>
        <w:t>, accertava la mancata ottemperanza del CNF al provvedimento n. 25124/2014 e, ritenendo persistente la violazione dell’art. 101 TFUE accertata con riferimento al parere n. 48/2012, irrogava una nuova sanzione amministrativa pecuniaria</w:t>
      </w:r>
      <w:r w:rsidR="00E35957">
        <w:rPr>
          <w:rFonts w:ascii="Arial" w:hAnsi="Arial" w:cs="Arial"/>
        </w:rPr>
        <w:t xml:space="preserve"> di €912.536,40</w:t>
      </w:r>
      <w:r w:rsidR="00CD314E">
        <w:rPr>
          <w:rFonts w:ascii="Arial" w:hAnsi="Arial" w:cs="Arial"/>
        </w:rPr>
        <w:t>, pari al doppio della sanzione applicata (in realtà rideterminata</w:t>
      </w:r>
      <w:r w:rsidR="00E35957">
        <w:rPr>
          <w:rFonts w:ascii="Arial" w:hAnsi="Arial" w:cs="Arial"/>
        </w:rPr>
        <w:t xml:space="preserve"> in €513.914,17</w:t>
      </w:r>
      <w:r w:rsidR="00CD314E">
        <w:rPr>
          <w:rFonts w:ascii="Arial" w:hAnsi="Arial" w:cs="Arial"/>
        </w:rPr>
        <w:t xml:space="preserve">, all’esito del procedimento parallelo I748C, con </w:t>
      </w:r>
      <w:hyperlink r:id="rId16" w:history="1">
        <w:r w:rsidR="00CD314E" w:rsidRPr="00544F7D">
          <w:rPr>
            <w:rStyle w:val="Collegamentoipertestuale"/>
            <w:rFonts w:ascii="Arial" w:hAnsi="Arial" w:cs="Arial"/>
          </w:rPr>
          <w:t xml:space="preserve">delibera 11 novembre 2015, n. </w:t>
        </w:r>
        <w:r w:rsidR="00E35957" w:rsidRPr="00544F7D">
          <w:rPr>
            <w:rStyle w:val="Collegamentoipertestuale"/>
            <w:rFonts w:ascii="Arial" w:hAnsi="Arial" w:cs="Arial"/>
          </w:rPr>
          <w:t>25705</w:t>
        </w:r>
      </w:hyperlink>
      <w:r w:rsidR="00E35957">
        <w:rPr>
          <w:rFonts w:ascii="Arial" w:hAnsi="Arial" w:cs="Arial"/>
        </w:rPr>
        <w:t xml:space="preserve">, provvedimento anche questo impugnato dal CNF con ricorso 18 gennaio 2016). </w:t>
      </w:r>
    </w:p>
    <w:p w14:paraId="7D9758AC" w14:textId="54DD8C2C" w:rsidR="007E3C7D" w:rsidRDefault="00544F7D" w:rsidP="000132C8">
      <w:pPr>
        <w:ind w:firstLine="708"/>
        <w:jc w:val="both"/>
        <w:rPr>
          <w:rFonts w:ascii="Arial" w:hAnsi="Arial" w:cs="Arial"/>
        </w:rPr>
      </w:pPr>
      <w:r>
        <w:rPr>
          <w:rFonts w:ascii="Arial" w:hAnsi="Arial" w:cs="Arial"/>
        </w:rPr>
        <w:lastRenderedPageBreak/>
        <w:t xml:space="preserve">Il CNF impugnava la decisione dichiarativa dell’inottemperanza e la nuova sanzione davanti </w:t>
      </w:r>
      <w:r w:rsidR="00653E36">
        <w:rPr>
          <w:rFonts w:ascii="Arial" w:hAnsi="Arial" w:cs="Arial"/>
        </w:rPr>
        <w:t>al TAR Lazio che</w:t>
      </w:r>
      <w:r>
        <w:rPr>
          <w:rFonts w:ascii="Arial" w:hAnsi="Arial" w:cs="Arial"/>
        </w:rPr>
        <w:t>,</w:t>
      </w:r>
      <w:r w:rsidR="00653E36">
        <w:rPr>
          <w:rFonts w:ascii="Arial" w:hAnsi="Arial" w:cs="Arial"/>
        </w:rPr>
        <w:t xml:space="preserve"> </w:t>
      </w:r>
      <w:r w:rsidR="00653E36" w:rsidRPr="00B05C7C">
        <w:rPr>
          <w:rFonts w:ascii="Arial" w:hAnsi="Arial" w:cs="Arial"/>
        </w:rPr>
        <w:t>in accoglimento del ricorso</w:t>
      </w:r>
      <w:r w:rsidR="00653E36">
        <w:rPr>
          <w:rFonts w:ascii="Arial" w:hAnsi="Arial" w:cs="Arial"/>
        </w:rPr>
        <w:t xml:space="preserve">, con </w:t>
      </w:r>
      <w:hyperlink r:id="rId17" w:history="1">
        <w:r w:rsidR="00653E36" w:rsidRPr="003B4E39">
          <w:rPr>
            <w:rStyle w:val="Collegamentoipertestuale"/>
            <w:rFonts w:ascii="Arial" w:hAnsi="Arial" w:cs="Arial"/>
          </w:rPr>
          <w:t xml:space="preserve">sentenza </w:t>
        </w:r>
        <w:r w:rsidR="00B05C7C" w:rsidRPr="003B4E39">
          <w:rPr>
            <w:rStyle w:val="Collegamentoipertestuale"/>
            <w:rFonts w:ascii="Arial" w:hAnsi="Arial" w:cs="Arial"/>
          </w:rPr>
          <w:t>11 novembre 2016, n. 11169</w:t>
        </w:r>
      </w:hyperlink>
      <w:r w:rsidR="00B05C7C" w:rsidRPr="00B05C7C">
        <w:rPr>
          <w:rFonts w:ascii="Arial" w:hAnsi="Arial" w:cs="Arial"/>
        </w:rPr>
        <w:t xml:space="preserve">, </w:t>
      </w:r>
      <w:r w:rsidR="00653E36">
        <w:rPr>
          <w:rFonts w:ascii="Arial" w:hAnsi="Arial" w:cs="Arial"/>
        </w:rPr>
        <w:t xml:space="preserve">annullava </w:t>
      </w:r>
      <w:r w:rsidR="00B05C7C" w:rsidRPr="00B05C7C">
        <w:rPr>
          <w:rFonts w:ascii="Arial" w:hAnsi="Arial" w:cs="Arial"/>
        </w:rPr>
        <w:t xml:space="preserve">il provvedimento </w:t>
      </w:r>
      <w:r w:rsidR="00653E36">
        <w:rPr>
          <w:rFonts w:ascii="Arial" w:hAnsi="Arial" w:cs="Arial"/>
        </w:rPr>
        <w:t>(e la relativa sanzione</w:t>
      </w:r>
      <w:r w:rsidR="00B05C7C" w:rsidRPr="00B05C7C">
        <w:rPr>
          <w:rFonts w:ascii="Arial" w:hAnsi="Arial" w:cs="Arial"/>
        </w:rPr>
        <w:t xml:space="preserve"> amministrativa pecuniaria di € 912.536,40</w:t>
      </w:r>
      <w:r w:rsidR="00653E36">
        <w:rPr>
          <w:rFonts w:ascii="Arial" w:hAnsi="Arial" w:cs="Arial"/>
        </w:rPr>
        <w:t>) per ragioni di ordine sia procedurale che sostanziale</w:t>
      </w:r>
      <w:r w:rsidR="007E3C7D">
        <w:rPr>
          <w:rFonts w:ascii="Arial" w:hAnsi="Arial" w:cs="Arial"/>
        </w:rPr>
        <w:t xml:space="preserve">, ravvisando una violazione del contraddittorio ed escludendo la sussistenza di </w:t>
      </w:r>
      <w:r w:rsidR="00014D88">
        <w:rPr>
          <w:rFonts w:ascii="Arial" w:hAnsi="Arial" w:cs="Arial"/>
        </w:rPr>
        <w:t xml:space="preserve">comportamenti anticoncorrenziali o di </w:t>
      </w:r>
      <w:r w:rsidR="007E3C7D">
        <w:rPr>
          <w:rFonts w:ascii="Arial" w:hAnsi="Arial" w:cs="Arial"/>
        </w:rPr>
        <w:t xml:space="preserve">una nuova violazione rispetto all’originaria condotta contestata (si rinvia, sul punto, alla scheda </w:t>
      </w:r>
      <w:r w:rsidR="00014D88">
        <w:rPr>
          <w:rFonts w:ascii="Arial" w:hAnsi="Arial" w:cs="Arial"/>
        </w:rPr>
        <w:t xml:space="preserve">Ufficio studi </w:t>
      </w:r>
      <w:hyperlink r:id="rId18" w:history="1">
        <w:r w:rsidR="00014D88" w:rsidRPr="00014D88">
          <w:rPr>
            <w:rStyle w:val="Collegamentoipertestuale"/>
            <w:rFonts w:ascii="Arial" w:hAnsi="Arial" w:cs="Arial"/>
          </w:rPr>
          <w:t>n. 74/2016</w:t>
        </w:r>
      </w:hyperlink>
      <w:r w:rsidR="00014D88">
        <w:rPr>
          <w:rFonts w:ascii="Arial" w:hAnsi="Arial" w:cs="Arial"/>
        </w:rPr>
        <w:t>)</w:t>
      </w:r>
      <w:r w:rsidR="007E3C7D">
        <w:rPr>
          <w:rFonts w:ascii="Arial" w:hAnsi="Arial" w:cs="Arial"/>
        </w:rPr>
        <w:t>.</w:t>
      </w:r>
    </w:p>
    <w:p w14:paraId="0F017226" w14:textId="640B6474" w:rsidR="009E46BF" w:rsidRDefault="000132C8" w:rsidP="000132C8">
      <w:pPr>
        <w:ind w:firstLine="708"/>
        <w:jc w:val="both"/>
        <w:rPr>
          <w:rFonts w:ascii="Arial" w:hAnsi="Arial" w:cs="Arial"/>
        </w:rPr>
      </w:pPr>
      <w:r w:rsidRPr="000132C8">
        <w:rPr>
          <w:rFonts w:ascii="Arial" w:hAnsi="Arial" w:cs="Arial"/>
        </w:rPr>
        <w:t xml:space="preserve">Con la decisione </w:t>
      </w:r>
      <w:r w:rsidR="00014D88">
        <w:rPr>
          <w:rFonts w:ascii="Arial" w:hAnsi="Arial" w:cs="Arial"/>
        </w:rPr>
        <w:t>resa in data odierna</w:t>
      </w:r>
      <w:r w:rsidRPr="000132C8">
        <w:rPr>
          <w:rFonts w:ascii="Arial" w:hAnsi="Arial" w:cs="Arial"/>
        </w:rPr>
        <w:t xml:space="preserve">, il Consiglio di Stato </w:t>
      </w:r>
      <w:r>
        <w:rPr>
          <w:rFonts w:ascii="Arial" w:hAnsi="Arial" w:cs="Arial"/>
        </w:rPr>
        <w:t xml:space="preserve">respinge l’appello dell’AGCM e </w:t>
      </w:r>
      <w:r w:rsidRPr="008177F3">
        <w:rPr>
          <w:rFonts w:ascii="Arial" w:hAnsi="Arial" w:cs="Arial"/>
          <w:b/>
        </w:rPr>
        <w:t>conferma</w:t>
      </w:r>
      <w:r w:rsidR="00014D88">
        <w:rPr>
          <w:rFonts w:ascii="Arial" w:hAnsi="Arial" w:cs="Arial"/>
        </w:rPr>
        <w:t xml:space="preserve"> la </w:t>
      </w:r>
      <w:hyperlink r:id="rId19" w:history="1">
        <w:r w:rsidR="00014D88" w:rsidRPr="00014D88">
          <w:rPr>
            <w:rStyle w:val="Collegamentoipertestuale"/>
            <w:rFonts w:ascii="Arial" w:hAnsi="Arial" w:cs="Arial"/>
          </w:rPr>
          <w:t>decisione</w:t>
        </w:r>
      </w:hyperlink>
      <w:r w:rsidR="00014D88">
        <w:rPr>
          <w:rFonts w:ascii="Arial" w:hAnsi="Arial" w:cs="Arial"/>
        </w:rPr>
        <w:t xml:space="preserve"> del TAR Lazio di</w:t>
      </w:r>
      <w:r w:rsidRPr="008177F3">
        <w:rPr>
          <w:rFonts w:ascii="Arial" w:hAnsi="Arial" w:cs="Arial"/>
          <w:b/>
        </w:rPr>
        <w:t xml:space="preserve"> annullamento </w:t>
      </w:r>
      <w:r w:rsidR="00F11291" w:rsidRPr="008177F3">
        <w:rPr>
          <w:rFonts w:ascii="Arial" w:hAnsi="Arial" w:cs="Arial"/>
          <w:b/>
        </w:rPr>
        <w:t xml:space="preserve">del provvedimento n. </w:t>
      </w:r>
      <w:hyperlink r:id="rId20" w:history="1">
        <w:r w:rsidR="00F11291" w:rsidRPr="00014D88">
          <w:rPr>
            <w:rStyle w:val="Collegamentoipertestuale"/>
            <w:rFonts w:ascii="Arial" w:hAnsi="Arial" w:cs="Arial"/>
            <w:b/>
          </w:rPr>
          <w:t>25868/2016</w:t>
        </w:r>
      </w:hyperlink>
      <w:r w:rsidR="00F11291">
        <w:rPr>
          <w:rFonts w:ascii="Arial" w:hAnsi="Arial" w:cs="Arial"/>
        </w:rPr>
        <w:t>, condividendo le argomentazioni svolte dal giudice di prime cure</w:t>
      </w:r>
      <w:r w:rsidR="009E46BF">
        <w:rPr>
          <w:rFonts w:ascii="Arial" w:hAnsi="Arial" w:cs="Arial"/>
        </w:rPr>
        <w:t xml:space="preserve"> ed effettuando ulteriori precisazioni, di ordine procedurale nonché sostanziale</w:t>
      </w:r>
      <w:r w:rsidR="00F11291">
        <w:rPr>
          <w:rFonts w:ascii="Arial" w:hAnsi="Arial" w:cs="Arial"/>
        </w:rPr>
        <w:t xml:space="preserve">. </w:t>
      </w:r>
    </w:p>
    <w:p w14:paraId="79C17C7E" w14:textId="79B8F7BE" w:rsidR="00F775F9" w:rsidRDefault="00862D9A" w:rsidP="00862D9A">
      <w:pPr>
        <w:ind w:firstLine="708"/>
        <w:jc w:val="both"/>
        <w:rPr>
          <w:rFonts w:ascii="Arial" w:hAnsi="Arial" w:cs="Arial"/>
        </w:rPr>
      </w:pPr>
      <w:r>
        <w:rPr>
          <w:rFonts w:ascii="Arial" w:hAnsi="Arial" w:cs="Arial"/>
        </w:rPr>
        <w:t xml:space="preserve">Quanto al primo profilo, conferma la </w:t>
      </w:r>
      <w:r w:rsidRPr="00345970">
        <w:rPr>
          <w:rFonts w:ascii="Arial" w:hAnsi="Arial" w:cs="Arial"/>
          <w:b/>
        </w:rPr>
        <w:t>violazion</w:t>
      </w:r>
      <w:r>
        <w:rPr>
          <w:rFonts w:ascii="Arial" w:hAnsi="Arial" w:cs="Arial"/>
          <w:b/>
        </w:rPr>
        <w:t>e</w:t>
      </w:r>
      <w:r>
        <w:rPr>
          <w:rFonts w:ascii="Arial" w:hAnsi="Arial" w:cs="Arial"/>
        </w:rPr>
        <w:t xml:space="preserve"> </w:t>
      </w:r>
      <w:r w:rsidRPr="00862D9A">
        <w:rPr>
          <w:rFonts w:ascii="Arial" w:hAnsi="Arial" w:cs="Arial"/>
          <w:b/>
        </w:rPr>
        <w:t>del contraddittorio</w:t>
      </w:r>
      <w:r>
        <w:rPr>
          <w:rFonts w:ascii="Arial" w:hAnsi="Arial" w:cs="Arial"/>
        </w:rPr>
        <w:t xml:space="preserve"> già accertata dal TAR Lazio, poiché non è stato consentito al CNF di essere sentito dal Collegio, ma unicamente dagli Uffici che hanno seguito l’istruttoria, mancando peraltro anche una formale CRI (Contestazione delle Risultanze Istruttorie), prevista dal procedimento. La </w:t>
      </w:r>
      <w:r w:rsidR="000B7C6D">
        <w:rPr>
          <w:rFonts w:ascii="Arial" w:hAnsi="Arial" w:cs="Arial"/>
        </w:rPr>
        <w:t>decisione ha escluso</w:t>
      </w:r>
      <w:r>
        <w:rPr>
          <w:rFonts w:ascii="Arial" w:hAnsi="Arial" w:cs="Arial"/>
        </w:rPr>
        <w:t xml:space="preserve">, </w:t>
      </w:r>
      <w:r w:rsidR="000B7C6D">
        <w:rPr>
          <w:rFonts w:ascii="Arial" w:hAnsi="Arial" w:cs="Arial"/>
        </w:rPr>
        <w:t xml:space="preserve">in ragione della </w:t>
      </w:r>
      <w:r>
        <w:rPr>
          <w:rFonts w:ascii="Arial" w:hAnsi="Arial" w:cs="Arial"/>
        </w:rPr>
        <w:t xml:space="preserve">natura degli interessi coinvolti e dei soggetti interessati, che il procedimento di ottemperanza possa considerarsi quale formalmente amministrativo e non soggetto alla disciplina speciale in materia di concorrenza, con un conseguente affievolimento del diritto di difesa, trattandosi di </w:t>
      </w:r>
      <w:r w:rsidR="000B7C6D">
        <w:rPr>
          <w:rFonts w:ascii="Arial" w:hAnsi="Arial" w:cs="Arial"/>
        </w:rPr>
        <w:t>(</w:t>
      </w:r>
      <w:r>
        <w:rPr>
          <w:rFonts w:ascii="Arial" w:hAnsi="Arial" w:cs="Arial"/>
        </w:rPr>
        <w:t>asserite</w:t>
      </w:r>
      <w:r w:rsidR="000B7C6D">
        <w:rPr>
          <w:rFonts w:ascii="Arial" w:hAnsi="Arial" w:cs="Arial"/>
        </w:rPr>
        <w:t>)</w:t>
      </w:r>
      <w:r>
        <w:rPr>
          <w:rFonts w:ascii="Arial" w:hAnsi="Arial" w:cs="Arial"/>
        </w:rPr>
        <w:t xml:space="preserve"> violazioni della normativa </w:t>
      </w:r>
      <w:r w:rsidR="00F775F9">
        <w:rPr>
          <w:rFonts w:ascii="Arial" w:hAnsi="Arial" w:cs="Arial"/>
        </w:rPr>
        <w:t xml:space="preserve">antitrust. Di conseguenza, con un rinvio alla consolidata giurisprudenza della Corte di Strasburgo sulla natura formalmente amministrativa ma intrinsecamente penale di un illecito (Corte EDU, sentenza 4 marzo 2014, </w:t>
      </w:r>
      <w:hyperlink r:id="rId21" w:history="1">
        <w:r w:rsidR="00F775F9" w:rsidRPr="00D75C39">
          <w:rPr>
            <w:rStyle w:val="Collegamentoipertestuale"/>
            <w:rFonts w:ascii="Arial" w:hAnsi="Arial" w:cs="Arial"/>
            <w:i/>
          </w:rPr>
          <w:t>Grande Stevens</w:t>
        </w:r>
      </w:hyperlink>
      <w:r w:rsidR="00F775F9">
        <w:rPr>
          <w:rFonts w:ascii="Arial" w:hAnsi="Arial" w:cs="Arial"/>
        </w:rPr>
        <w:t>), e considerata la «</w:t>
      </w:r>
      <w:r w:rsidR="00F775F9" w:rsidRPr="00345970">
        <w:rPr>
          <w:rFonts w:ascii="Arial" w:hAnsi="Arial" w:cs="Arial"/>
          <w:i/>
        </w:rPr>
        <w:t>funzione non meramente risarcitoria o compensativa, ma vistosamente repressiva e punitiva</w:t>
      </w:r>
      <w:r w:rsidR="00F775F9">
        <w:rPr>
          <w:rFonts w:ascii="Arial" w:hAnsi="Arial" w:cs="Arial"/>
        </w:rPr>
        <w:t>» della sanzione applicata dall’Autorità per l’(asserita) inottemperanza, ritiene che dovevano essere «</w:t>
      </w:r>
      <w:r w:rsidR="00F775F9" w:rsidRPr="006C2EDA">
        <w:rPr>
          <w:rFonts w:ascii="Arial" w:hAnsi="Arial" w:cs="Arial"/>
          <w:i/>
        </w:rPr>
        <w:t>assicurate garanzie pari a quelle del processo penale</w:t>
      </w:r>
      <w:r w:rsidR="00F775F9">
        <w:rPr>
          <w:rFonts w:ascii="Arial" w:hAnsi="Arial" w:cs="Arial"/>
        </w:rPr>
        <w:t>».</w:t>
      </w:r>
    </w:p>
    <w:p w14:paraId="576F9636" w14:textId="25240A6F" w:rsidR="00AD5330" w:rsidRDefault="000B7C6D" w:rsidP="00F775F9">
      <w:pPr>
        <w:ind w:firstLine="708"/>
        <w:jc w:val="both"/>
        <w:rPr>
          <w:rFonts w:ascii="Arial" w:hAnsi="Arial" w:cs="Arial"/>
        </w:rPr>
      </w:pPr>
      <w:r>
        <w:rPr>
          <w:rFonts w:ascii="Arial" w:hAnsi="Arial" w:cs="Arial"/>
        </w:rPr>
        <w:t xml:space="preserve">Nella decisione si rileva, inoltre, </w:t>
      </w:r>
      <w:r w:rsidR="00F775F9">
        <w:rPr>
          <w:rFonts w:ascii="Arial" w:hAnsi="Arial" w:cs="Arial"/>
        </w:rPr>
        <w:t xml:space="preserve">che </w:t>
      </w:r>
      <w:r w:rsidR="00F11291">
        <w:rPr>
          <w:rFonts w:ascii="Arial" w:hAnsi="Arial" w:cs="Arial"/>
        </w:rPr>
        <w:t xml:space="preserve">la </w:t>
      </w:r>
      <w:r w:rsidR="00F11291" w:rsidRPr="008177F3">
        <w:rPr>
          <w:rFonts w:ascii="Arial" w:hAnsi="Arial" w:cs="Arial"/>
          <w:b/>
        </w:rPr>
        <w:t>contestazione</w:t>
      </w:r>
      <w:r w:rsidR="00F11291">
        <w:rPr>
          <w:rFonts w:ascii="Arial" w:hAnsi="Arial" w:cs="Arial"/>
        </w:rPr>
        <w:t xml:space="preserve"> di cui al procedimento per inottemperanza (</w:t>
      </w:r>
      <w:hyperlink r:id="rId22" w:history="1">
        <w:r w:rsidR="00F11291" w:rsidRPr="000B7C6D">
          <w:rPr>
            <w:rStyle w:val="Collegamentoipertestuale"/>
            <w:rFonts w:ascii="Arial" w:hAnsi="Arial" w:cs="Arial"/>
          </w:rPr>
          <w:t>I748B</w:t>
        </w:r>
      </w:hyperlink>
      <w:r w:rsidR="00F11291">
        <w:rPr>
          <w:rFonts w:ascii="Arial" w:hAnsi="Arial" w:cs="Arial"/>
        </w:rPr>
        <w:t xml:space="preserve">) </w:t>
      </w:r>
      <w:r w:rsidR="009E46BF">
        <w:rPr>
          <w:rFonts w:ascii="Arial" w:hAnsi="Arial" w:cs="Arial"/>
        </w:rPr>
        <w:t xml:space="preserve">risulta </w:t>
      </w:r>
      <w:r w:rsidR="00AD5330" w:rsidRPr="008177F3">
        <w:rPr>
          <w:rFonts w:ascii="Arial" w:hAnsi="Arial" w:cs="Arial"/>
          <w:b/>
        </w:rPr>
        <w:t>identica</w:t>
      </w:r>
      <w:r w:rsidR="00AD5330">
        <w:rPr>
          <w:rFonts w:ascii="Arial" w:hAnsi="Arial" w:cs="Arial"/>
        </w:rPr>
        <w:t xml:space="preserve"> a quella già </w:t>
      </w:r>
      <w:r w:rsidR="00F11291">
        <w:rPr>
          <w:rFonts w:ascii="Arial" w:hAnsi="Arial" w:cs="Arial"/>
        </w:rPr>
        <w:t xml:space="preserve">oggetto </w:t>
      </w:r>
      <w:r w:rsidR="00AD5330">
        <w:rPr>
          <w:rFonts w:ascii="Arial" w:hAnsi="Arial" w:cs="Arial"/>
        </w:rPr>
        <w:t>del procedimento originario</w:t>
      </w:r>
      <w:r w:rsidR="009E46BF">
        <w:rPr>
          <w:rFonts w:ascii="Arial" w:hAnsi="Arial" w:cs="Arial"/>
        </w:rPr>
        <w:t xml:space="preserve"> (</w:t>
      </w:r>
      <w:hyperlink r:id="rId23" w:history="1">
        <w:r w:rsidR="009E46BF" w:rsidRPr="00D6145B">
          <w:rPr>
            <w:rStyle w:val="Collegamentoipertestuale"/>
            <w:rFonts w:ascii="Arial" w:hAnsi="Arial" w:cs="Arial"/>
          </w:rPr>
          <w:t>I748</w:t>
        </w:r>
      </w:hyperlink>
      <w:r w:rsidR="009E46BF">
        <w:rPr>
          <w:rFonts w:ascii="Arial" w:hAnsi="Arial" w:cs="Arial"/>
        </w:rPr>
        <w:t>)</w:t>
      </w:r>
      <w:r w:rsidR="00D6145B">
        <w:rPr>
          <w:rFonts w:ascii="Arial" w:hAnsi="Arial" w:cs="Arial"/>
        </w:rPr>
        <w:t xml:space="preserve">, e si </w:t>
      </w:r>
      <w:r w:rsidR="008177F3" w:rsidRPr="008177F3">
        <w:rPr>
          <w:rFonts w:ascii="Arial" w:hAnsi="Arial" w:cs="Arial"/>
          <w:b/>
        </w:rPr>
        <w:t>esclude</w:t>
      </w:r>
      <w:r w:rsidR="008177F3">
        <w:rPr>
          <w:rFonts w:ascii="Arial" w:hAnsi="Arial" w:cs="Arial"/>
        </w:rPr>
        <w:t xml:space="preserve"> </w:t>
      </w:r>
      <w:r w:rsidR="00D6145B">
        <w:rPr>
          <w:rFonts w:ascii="Arial" w:hAnsi="Arial" w:cs="Arial"/>
        </w:rPr>
        <w:t xml:space="preserve">allo stesso tempo </w:t>
      </w:r>
      <w:r w:rsidR="00AD5330">
        <w:rPr>
          <w:rFonts w:ascii="Arial" w:hAnsi="Arial" w:cs="Arial"/>
        </w:rPr>
        <w:t xml:space="preserve">la </w:t>
      </w:r>
      <w:r w:rsidR="009E46BF" w:rsidRPr="008177F3">
        <w:rPr>
          <w:rFonts w:ascii="Arial" w:hAnsi="Arial" w:cs="Arial"/>
          <w:b/>
        </w:rPr>
        <w:t xml:space="preserve">sussistenza di </w:t>
      </w:r>
      <w:r w:rsidR="00D6145B" w:rsidRPr="00D6145B">
        <w:rPr>
          <w:rFonts w:ascii="Arial" w:hAnsi="Arial" w:cs="Arial"/>
        </w:rPr>
        <w:t>un</w:t>
      </w:r>
      <w:r w:rsidR="00D6145B">
        <w:rPr>
          <w:rFonts w:ascii="Arial" w:hAnsi="Arial" w:cs="Arial"/>
          <w:b/>
        </w:rPr>
        <w:t xml:space="preserve"> </w:t>
      </w:r>
      <w:r w:rsidR="009E46BF" w:rsidRPr="008177F3">
        <w:rPr>
          <w:rFonts w:ascii="Arial" w:hAnsi="Arial" w:cs="Arial"/>
          <w:b/>
        </w:rPr>
        <w:t>ritardo</w:t>
      </w:r>
      <w:r w:rsidR="009E46BF">
        <w:rPr>
          <w:rFonts w:ascii="Arial" w:hAnsi="Arial" w:cs="Arial"/>
        </w:rPr>
        <w:t xml:space="preserve"> del Consiglio Nazionale Forense nell’adempiere alle prescrizioni di cui al provvedimento </w:t>
      </w:r>
      <w:r w:rsidR="00D6145B">
        <w:rPr>
          <w:rFonts w:ascii="Arial" w:hAnsi="Arial" w:cs="Arial"/>
        </w:rPr>
        <w:t xml:space="preserve">AGCM </w:t>
      </w:r>
      <w:r w:rsidR="009E46BF">
        <w:rPr>
          <w:rFonts w:ascii="Arial" w:hAnsi="Arial" w:cs="Arial"/>
        </w:rPr>
        <w:t>del 2014</w:t>
      </w:r>
      <w:r w:rsidR="00CA02EA">
        <w:rPr>
          <w:rFonts w:ascii="Arial" w:hAnsi="Arial" w:cs="Arial"/>
        </w:rPr>
        <w:t>. Tale delibera,</w:t>
      </w:r>
      <w:r w:rsidR="00D6145B">
        <w:rPr>
          <w:rFonts w:ascii="Arial" w:hAnsi="Arial" w:cs="Arial"/>
        </w:rPr>
        <w:t xml:space="preserve"> infatti, era stata impugnata davanti </w:t>
      </w:r>
      <w:r w:rsidR="009E46BF">
        <w:rPr>
          <w:rFonts w:ascii="Arial" w:hAnsi="Arial" w:cs="Arial"/>
        </w:rPr>
        <w:t>al giudice amministrativo</w:t>
      </w:r>
      <w:r w:rsidR="00B55EA1">
        <w:rPr>
          <w:rFonts w:ascii="Arial" w:hAnsi="Arial" w:cs="Arial"/>
        </w:rPr>
        <w:t xml:space="preserve"> e</w:t>
      </w:r>
      <w:r w:rsidR="007858D4">
        <w:rPr>
          <w:rFonts w:ascii="Arial" w:hAnsi="Arial" w:cs="Arial"/>
        </w:rPr>
        <w:t xml:space="preserve"> la sentenza di primo grado risulta</w:t>
      </w:r>
      <w:r w:rsidR="00CA02EA">
        <w:rPr>
          <w:rFonts w:ascii="Arial" w:hAnsi="Arial" w:cs="Arial"/>
        </w:rPr>
        <w:t>v</w:t>
      </w:r>
      <w:r w:rsidR="007858D4">
        <w:rPr>
          <w:rFonts w:ascii="Arial" w:hAnsi="Arial" w:cs="Arial"/>
        </w:rPr>
        <w:t xml:space="preserve">a favorevole </w:t>
      </w:r>
      <w:r w:rsidR="00B55EA1">
        <w:rPr>
          <w:rFonts w:ascii="Arial" w:hAnsi="Arial" w:cs="Arial"/>
        </w:rPr>
        <w:t>per il CNF</w:t>
      </w:r>
      <w:r w:rsidR="00CA02EA">
        <w:rPr>
          <w:rFonts w:ascii="Arial" w:hAnsi="Arial" w:cs="Arial"/>
        </w:rPr>
        <w:t xml:space="preserve"> e annullava </w:t>
      </w:r>
      <w:r w:rsidR="007858D4">
        <w:rPr>
          <w:rFonts w:ascii="Arial" w:hAnsi="Arial" w:cs="Arial"/>
        </w:rPr>
        <w:t>la sanzione</w:t>
      </w:r>
      <w:r w:rsidR="00CA02EA">
        <w:rPr>
          <w:rFonts w:ascii="Arial" w:hAnsi="Arial" w:cs="Arial"/>
        </w:rPr>
        <w:t xml:space="preserve"> amministrativa pecuniaria</w:t>
      </w:r>
      <w:r w:rsidR="00B55EA1">
        <w:rPr>
          <w:rFonts w:ascii="Arial" w:hAnsi="Arial" w:cs="Arial"/>
        </w:rPr>
        <w:t xml:space="preserve">. Considerato che le decisioni del giudice amministrativo sono </w:t>
      </w:r>
      <w:r w:rsidR="00CA02EA">
        <w:rPr>
          <w:rFonts w:ascii="Arial" w:hAnsi="Arial" w:cs="Arial"/>
        </w:rPr>
        <w:t xml:space="preserve">dotate di provvisoria esecutività </w:t>
      </w:r>
      <w:r w:rsidR="00B55EA1">
        <w:rPr>
          <w:rFonts w:ascii="Arial" w:hAnsi="Arial" w:cs="Arial"/>
        </w:rPr>
        <w:t>(</w:t>
      </w:r>
      <w:r w:rsidR="007858D4">
        <w:rPr>
          <w:rFonts w:ascii="Arial" w:hAnsi="Arial" w:cs="Arial"/>
        </w:rPr>
        <w:t>ai sensi dell’art. 33 c.p.a.)</w:t>
      </w:r>
      <w:r w:rsidR="00B55EA1">
        <w:rPr>
          <w:rFonts w:ascii="Arial" w:hAnsi="Arial" w:cs="Arial"/>
        </w:rPr>
        <w:t>, l’</w:t>
      </w:r>
      <w:r w:rsidR="007858D4">
        <w:rPr>
          <w:rFonts w:ascii="Arial" w:hAnsi="Arial" w:cs="Arial"/>
        </w:rPr>
        <w:t xml:space="preserve">obbligo di </w:t>
      </w:r>
      <w:r w:rsidR="001F0836">
        <w:rPr>
          <w:rFonts w:ascii="Arial" w:hAnsi="Arial" w:cs="Arial"/>
        </w:rPr>
        <w:t xml:space="preserve">adempiere (e </w:t>
      </w:r>
      <w:r w:rsidR="007858D4">
        <w:rPr>
          <w:rFonts w:ascii="Arial" w:hAnsi="Arial" w:cs="Arial"/>
        </w:rPr>
        <w:t>ritirare il parere</w:t>
      </w:r>
      <w:r w:rsidR="001F0836">
        <w:rPr>
          <w:rFonts w:ascii="Arial" w:hAnsi="Arial" w:cs="Arial"/>
        </w:rPr>
        <w:t>)</w:t>
      </w:r>
      <w:r w:rsidR="007858D4">
        <w:rPr>
          <w:rFonts w:ascii="Arial" w:hAnsi="Arial" w:cs="Arial"/>
        </w:rPr>
        <w:t xml:space="preserve"> poteva considerarsi certo e cogente solo a seguito della notifica della sentenza di secondo grado, </w:t>
      </w:r>
      <w:r w:rsidR="009E46BF">
        <w:rPr>
          <w:rFonts w:ascii="Arial" w:hAnsi="Arial" w:cs="Arial"/>
        </w:rPr>
        <w:t>pubblicata il 22 marzo 201</w:t>
      </w:r>
      <w:r w:rsidR="00705EB7">
        <w:rPr>
          <w:rFonts w:ascii="Arial" w:hAnsi="Arial" w:cs="Arial"/>
        </w:rPr>
        <w:t xml:space="preserve">6, a seguito della quale il CNF provvedeva tempestivamente </w:t>
      </w:r>
      <w:r w:rsidR="001F0836">
        <w:rPr>
          <w:rFonts w:ascii="Arial" w:hAnsi="Arial" w:cs="Arial"/>
        </w:rPr>
        <w:t xml:space="preserve">nella prima adunanza utile, del 22 aprile 2016, </w:t>
      </w:r>
      <w:r w:rsidR="00705EB7">
        <w:rPr>
          <w:rFonts w:ascii="Arial" w:hAnsi="Arial" w:cs="Arial"/>
        </w:rPr>
        <w:t xml:space="preserve">a revocare il parere n. 48/2012 </w:t>
      </w:r>
      <w:r w:rsidR="006C2EDA">
        <w:rPr>
          <w:rFonts w:ascii="Arial" w:hAnsi="Arial" w:cs="Arial"/>
        </w:rPr>
        <w:t>nonché a dare avvio al procedimento per la modifica dell’art. 35 del Codice deontologico</w:t>
      </w:r>
      <w:r w:rsidR="009E46BF">
        <w:rPr>
          <w:rFonts w:ascii="Arial" w:hAnsi="Arial" w:cs="Arial"/>
        </w:rPr>
        <w:t xml:space="preserve">. </w:t>
      </w:r>
      <w:r w:rsidR="00822B60">
        <w:rPr>
          <w:rFonts w:ascii="Arial" w:hAnsi="Arial" w:cs="Arial"/>
        </w:rPr>
        <w:t xml:space="preserve">Di conseguenza, </w:t>
      </w:r>
      <w:r w:rsidR="00D75C39">
        <w:rPr>
          <w:rFonts w:ascii="Arial" w:hAnsi="Arial" w:cs="Arial"/>
        </w:rPr>
        <w:t xml:space="preserve">si afferma che il CNF ha </w:t>
      </w:r>
      <w:r w:rsidR="00822B60">
        <w:rPr>
          <w:rFonts w:ascii="Arial" w:hAnsi="Arial" w:cs="Arial"/>
        </w:rPr>
        <w:t xml:space="preserve">puntualmente adempiuto a quanto disposto, </w:t>
      </w:r>
      <w:r w:rsidR="00D75C39">
        <w:rPr>
          <w:rFonts w:ascii="Arial" w:hAnsi="Arial" w:cs="Arial"/>
        </w:rPr>
        <w:t xml:space="preserve">e si </w:t>
      </w:r>
      <w:r w:rsidR="00D75C39" w:rsidRPr="00D75C39">
        <w:rPr>
          <w:rFonts w:ascii="Arial" w:hAnsi="Arial" w:cs="Arial"/>
          <w:b/>
        </w:rPr>
        <w:t>esclude</w:t>
      </w:r>
      <w:r w:rsidR="00D75C39">
        <w:rPr>
          <w:rFonts w:ascii="Arial" w:hAnsi="Arial" w:cs="Arial"/>
        </w:rPr>
        <w:t xml:space="preserve"> la </w:t>
      </w:r>
      <w:r w:rsidR="00D75C39" w:rsidRPr="00D75C39">
        <w:rPr>
          <w:rFonts w:ascii="Arial" w:hAnsi="Arial" w:cs="Arial"/>
          <w:b/>
        </w:rPr>
        <w:t>sussistenza</w:t>
      </w:r>
      <w:r w:rsidR="00D75C39">
        <w:rPr>
          <w:rFonts w:ascii="Arial" w:hAnsi="Arial" w:cs="Arial"/>
        </w:rPr>
        <w:t xml:space="preserve">, nel merito, di un comportamento </w:t>
      </w:r>
      <w:r w:rsidR="00822B60">
        <w:rPr>
          <w:rFonts w:ascii="Arial" w:hAnsi="Arial" w:cs="Arial"/>
        </w:rPr>
        <w:t xml:space="preserve">di </w:t>
      </w:r>
      <w:r w:rsidR="00822B60" w:rsidRPr="00D75C39">
        <w:rPr>
          <w:rFonts w:ascii="Arial" w:hAnsi="Arial" w:cs="Arial"/>
          <w:b/>
        </w:rPr>
        <w:t>mancata ottemperanza</w:t>
      </w:r>
      <w:r w:rsidR="00822B60">
        <w:rPr>
          <w:rFonts w:ascii="Arial" w:hAnsi="Arial" w:cs="Arial"/>
        </w:rPr>
        <w:t>.</w:t>
      </w:r>
    </w:p>
    <w:p w14:paraId="432B9AE0" w14:textId="77777777" w:rsidR="00791B3F" w:rsidRDefault="00822B60" w:rsidP="00791B3F">
      <w:pPr>
        <w:ind w:firstLine="708"/>
        <w:jc w:val="both"/>
        <w:rPr>
          <w:rFonts w:ascii="Arial" w:hAnsi="Arial" w:cs="Arial"/>
        </w:rPr>
      </w:pPr>
      <w:r>
        <w:rPr>
          <w:rFonts w:ascii="Arial" w:hAnsi="Arial" w:cs="Arial"/>
        </w:rPr>
        <w:t xml:space="preserve">Al tempo stesso, il Consiglio di Stato rileva la </w:t>
      </w:r>
      <w:r w:rsidRPr="000A1D46">
        <w:rPr>
          <w:rFonts w:ascii="Arial" w:hAnsi="Arial" w:cs="Arial"/>
          <w:b/>
        </w:rPr>
        <w:t xml:space="preserve">violazione del principio del </w:t>
      </w:r>
      <w:r w:rsidRPr="000A1D46">
        <w:rPr>
          <w:rFonts w:ascii="Arial" w:hAnsi="Arial" w:cs="Arial"/>
          <w:b/>
          <w:i/>
        </w:rPr>
        <w:t>ne bis in idem</w:t>
      </w:r>
      <w:r>
        <w:rPr>
          <w:rFonts w:ascii="Arial" w:hAnsi="Arial" w:cs="Arial"/>
        </w:rPr>
        <w:t xml:space="preserve"> </w:t>
      </w:r>
      <w:r w:rsidR="000A1D46">
        <w:rPr>
          <w:rFonts w:ascii="Arial" w:hAnsi="Arial" w:cs="Arial"/>
        </w:rPr>
        <w:t>di cui all’art. 50 della Carta dei diritti fondamentali dell’Union europea</w:t>
      </w:r>
      <w:r>
        <w:rPr>
          <w:rFonts w:ascii="Arial" w:hAnsi="Arial" w:cs="Arial"/>
        </w:rPr>
        <w:t>,</w:t>
      </w:r>
      <w:r w:rsidR="00D149D6">
        <w:rPr>
          <w:rFonts w:ascii="Arial" w:hAnsi="Arial" w:cs="Arial"/>
        </w:rPr>
        <w:t xml:space="preserve"> come interpretato</w:t>
      </w:r>
      <w:r>
        <w:rPr>
          <w:rFonts w:ascii="Arial" w:hAnsi="Arial" w:cs="Arial"/>
        </w:rPr>
        <w:t xml:space="preserve"> alla luce della giurisprudenza comunitaria (il riferimento è, in particolare, alla </w:t>
      </w:r>
      <w:hyperlink r:id="rId24" w:history="1">
        <w:r w:rsidRPr="000A1D46">
          <w:rPr>
            <w:rStyle w:val="Collegamentoipertestuale"/>
            <w:rFonts w:ascii="Arial" w:hAnsi="Arial" w:cs="Arial"/>
          </w:rPr>
          <w:t>decisione</w:t>
        </w:r>
      </w:hyperlink>
      <w:r>
        <w:rPr>
          <w:rFonts w:ascii="Arial" w:hAnsi="Arial" w:cs="Arial"/>
        </w:rPr>
        <w:t xml:space="preserve"> della Corte di Giustizia dell’Unione Europea 3 aprile 2019, causa C-617/17</w:t>
      </w:r>
      <w:r w:rsidR="000A1D46">
        <w:rPr>
          <w:rFonts w:ascii="Arial" w:hAnsi="Arial" w:cs="Arial"/>
        </w:rPr>
        <w:t xml:space="preserve">), </w:t>
      </w:r>
      <w:r w:rsidR="00D149D6">
        <w:rPr>
          <w:rFonts w:ascii="Arial" w:hAnsi="Arial" w:cs="Arial"/>
        </w:rPr>
        <w:t xml:space="preserve">in quanto non emerge dal </w:t>
      </w:r>
      <w:r w:rsidR="00DB4943">
        <w:rPr>
          <w:rFonts w:ascii="Arial" w:hAnsi="Arial" w:cs="Arial"/>
        </w:rPr>
        <w:t xml:space="preserve">provvedimento sanzionatorio </w:t>
      </w:r>
      <w:r w:rsidR="00D149D6">
        <w:rPr>
          <w:rFonts w:ascii="Arial" w:hAnsi="Arial" w:cs="Arial"/>
        </w:rPr>
        <w:t>alcuna valutazione specificata operata dall’Autorità relativa alla proporzionalità delle due sanzioni considerate congiuntamente. Il giudice di appello</w:t>
      </w:r>
      <w:r w:rsidR="00DB4943">
        <w:rPr>
          <w:rFonts w:ascii="Arial" w:hAnsi="Arial" w:cs="Arial"/>
        </w:rPr>
        <w:t xml:space="preserve">, al contrario, rileva una </w:t>
      </w:r>
      <w:r w:rsidR="00DB4943" w:rsidRPr="00D75C39">
        <w:rPr>
          <w:rFonts w:ascii="Arial" w:hAnsi="Arial" w:cs="Arial"/>
          <w:b/>
        </w:rPr>
        <w:t>irragionevole</w:t>
      </w:r>
      <w:r w:rsidR="00DB4943">
        <w:rPr>
          <w:rFonts w:ascii="Arial" w:hAnsi="Arial" w:cs="Arial"/>
        </w:rPr>
        <w:t xml:space="preserve"> </w:t>
      </w:r>
      <w:r w:rsidR="00DB4943" w:rsidRPr="00D75C39">
        <w:rPr>
          <w:rFonts w:ascii="Arial" w:hAnsi="Arial" w:cs="Arial"/>
          <w:b/>
        </w:rPr>
        <w:t>duplicazione</w:t>
      </w:r>
      <w:r w:rsidR="00DB4943">
        <w:rPr>
          <w:rFonts w:ascii="Arial" w:hAnsi="Arial" w:cs="Arial"/>
        </w:rPr>
        <w:t xml:space="preserve"> della </w:t>
      </w:r>
      <w:r w:rsidR="00DB4943" w:rsidRPr="00D75C39">
        <w:rPr>
          <w:rFonts w:ascii="Arial" w:hAnsi="Arial" w:cs="Arial"/>
          <w:b/>
        </w:rPr>
        <w:t>sanzione</w:t>
      </w:r>
      <w:r w:rsidR="00DB4943">
        <w:rPr>
          <w:rFonts w:ascii="Arial" w:hAnsi="Arial" w:cs="Arial"/>
        </w:rPr>
        <w:t xml:space="preserve"> </w:t>
      </w:r>
      <w:r w:rsidR="008177F3">
        <w:rPr>
          <w:rFonts w:ascii="Arial" w:hAnsi="Arial" w:cs="Arial"/>
        </w:rPr>
        <w:t xml:space="preserve">per un fatto già oggetto di analogo procedimento, particolarmente </w:t>
      </w:r>
      <w:r w:rsidR="00DB4943">
        <w:rPr>
          <w:rFonts w:ascii="Arial" w:hAnsi="Arial" w:cs="Arial"/>
        </w:rPr>
        <w:t>in ragione dell’identità della misura delle due sanzioni amministrative pecuniarie</w:t>
      </w:r>
      <w:r w:rsidR="008177F3">
        <w:rPr>
          <w:rFonts w:ascii="Arial" w:hAnsi="Arial" w:cs="Arial"/>
        </w:rPr>
        <w:t>.</w:t>
      </w:r>
    </w:p>
    <w:p w14:paraId="551C557C" w14:textId="303C05D8" w:rsidR="0006626B" w:rsidRPr="00791B3F" w:rsidRDefault="00F0628D" w:rsidP="00791B3F">
      <w:pPr>
        <w:ind w:firstLine="708"/>
        <w:jc w:val="both"/>
        <w:rPr>
          <w:rFonts w:ascii="Arial" w:hAnsi="Arial" w:cs="Arial"/>
        </w:rPr>
      </w:pPr>
      <w:r>
        <w:rPr>
          <w:rFonts w:ascii="Arial" w:hAnsi="Arial" w:cs="Arial"/>
        </w:rPr>
        <w:lastRenderedPageBreak/>
        <w:t xml:space="preserve">La </w:t>
      </w:r>
      <w:r w:rsidR="00B05C7C" w:rsidRPr="00791B3F">
        <w:rPr>
          <w:rFonts w:ascii="Arial" w:hAnsi="Arial" w:cs="Arial"/>
        </w:rPr>
        <w:t>decisione</w:t>
      </w:r>
      <w:r w:rsidR="00D46DE4" w:rsidRPr="00791B3F">
        <w:rPr>
          <w:rFonts w:ascii="Arial" w:hAnsi="Arial" w:cs="Arial"/>
        </w:rPr>
        <w:t xml:space="preserve"> conferma l’annullamento del </w:t>
      </w:r>
      <w:r w:rsidR="00B05C7C" w:rsidRPr="00791B3F">
        <w:rPr>
          <w:rFonts w:ascii="Arial" w:hAnsi="Arial" w:cs="Arial"/>
        </w:rPr>
        <w:t>provvedimento sanzionatorio</w:t>
      </w:r>
      <w:r>
        <w:rPr>
          <w:rFonts w:ascii="Arial" w:hAnsi="Arial" w:cs="Arial"/>
        </w:rPr>
        <w:t xml:space="preserve"> </w:t>
      </w:r>
      <w:r w:rsidRPr="00791B3F">
        <w:rPr>
          <w:rFonts w:ascii="Arial" w:hAnsi="Arial" w:cs="Arial"/>
        </w:rPr>
        <w:t xml:space="preserve">in via definitiva </w:t>
      </w:r>
      <w:r>
        <w:rPr>
          <w:rFonts w:ascii="Arial" w:hAnsi="Arial" w:cs="Arial"/>
        </w:rPr>
        <w:t xml:space="preserve">e, per effetto del giudicato, l’AGCM dovrà rifondere al CNF l’importo della sanzione amministrativa pecuniaria irrogata di € </w:t>
      </w:r>
      <w:r w:rsidRPr="00B05C7C">
        <w:rPr>
          <w:rFonts w:ascii="Arial" w:hAnsi="Arial" w:cs="Arial"/>
        </w:rPr>
        <w:t>912.536,40</w:t>
      </w:r>
      <w:r w:rsidR="00B05C7C" w:rsidRPr="00791B3F">
        <w:rPr>
          <w:rFonts w:ascii="Arial" w:hAnsi="Arial" w:cs="Arial"/>
        </w:rPr>
        <w:t>.</w:t>
      </w:r>
    </w:p>
    <w:sectPr w:rsidR="0006626B" w:rsidRPr="00791B3F" w:rsidSect="00483B58">
      <w:headerReference w:type="default" r:id="rId25"/>
      <w:footerReference w:type="default" r:id="rId26"/>
      <w:pgSz w:w="11906" w:h="16838"/>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4EFFD" w14:textId="77777777" w:rsidR="00F748A5" w:rsidRDefault="00F748A5" w:rsidP="00740AEA">
      <w:pPr>
        <w:spacing w:after="0" w:line="240" w:lineRule="auto"/>
      </w:pPr>
      <w:r>
        <w:separator/>
      </w:r>
    </w:p>
  </w:endnote>
  <w:endnote w:type="continuationSeparator" w:id="0">
    <w:p w14:paraId="69C6357E" w14:textId="77777777" w:rsidR="00F748A5" w:rsidRDefault="00F748A5" w:rsidP="0074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739672"/>
      <w:docPartObj>
        <w:docPartGallery w:val="Page Numbers (Bottom of Page)"/>
        <w:docPartUnique/>
      </w:docPartObj>
    </w:sdtPr>
    <w:sdtEndPr>
      <w:rPr>
        <w:rFonts w:ascii="Arial" w:hAnsi="Arial" w:cs="Arial"/>
        <w:sz w:val="20"/>
        <w:szCs w:val="20"/>
      </w:rPr>
    </w:sdtEndPr>
    <w:sdtContent>
      <w:p w14:paraId="3226E132" w14:textId="32D97E3F" w:rsidR="0018577B" w:rsidRPr="00631B18" w:rsidRDefault="0018577B">
        <w:pPr>
          <w:pStyle w:val="Pidipagina"/>
          <w:jc w:val="center"/>
        </w:pPr>
      </w:p>
      <w:p w14:paraId="189A148E" w14:textId="32D97E3F" w:rsidR="0018577B" w:rsidRPr="00981D4D" w:rsidRDefault="0018577B">
        <w:pPr>
          <w:pStyle w:val="Pidipagina"/>
          <w:jc w:val="center"/>
          <w:rPr>
            <w:rFonts w:ascii="Arial" w:hAnsi="Arial" w:cs="Arial"/>
            <w:sz w:val="20"/>
            <w:szCs w:val="20"/>
          </w:rPr>
        </w:pPr>
        <w:r w:rsidRPr="00981D4D">
          <w:rPr>
            <w:rFonts w:ascii="Arial" w:hAnsi="Arial" w:cs="Arial"/>
            <w:sz w:val="20"/>
            <w:szCs w:val="20"/>
          </w:rPr>
          <w:fldChar w:fldCharType="begin"/>
        </w:r>
        <w:r w:rsidRPr="00981D4D">
          <w:rPr>
            <w:rFonts w:ascii="Arial" w:hAnsi="Arial" w:cs="Arial"/>
            <w:sz w:val="20"/>
            <w:szCs w:val="20"/>
          </w:rPr>
          <w:instrText>PAGE   \* MERGEFORMAT</w:instrText>
        </w:r>
        <w:r w:rsidRPr="00981D4D">
          <w:rPr>
            <w:rFonts w:ascii="Arial" w:hAnsi="Arial" w:cs="Arial"/>
            <w:sz w:val="20"/>
            <w:szCs w:val="20"/>
          </w:rPr>
          <w:fldChar w:fldCharType="separate"/>
        </w:r>
        <w:r w:rsidR="00EF0B73">
          <w:rPr>
            <w:rFonts w:ascii="Arial" w:hAnsi="Arial" w:cs="Arial"/>
            <w:noProof/>
            <w:sz w:val="20"/>
            <w:szCs w:val="20"/>
          </w:rPr>
          <w:t>1</w:t>
        </w:r>
        <w:r w:rsidRPr="00981D4D">
          <w:rPr>
            <w:rFonts w:ascii="Arial" w:hAnsi="Arial" w:cs="Arial"/>
            <w:sz w:val="20"/>
            <w:szCs w:val="20"/>
          </w:rPr>
          <w:fldChar w:fldCharType="end"/>
        </w:r>
      </w:p>
    </w:sdtContent>
  </w:sdt>
  <w:p w14:paraId="6A1359CF" w14:textId="77777777" w:rsidR="0018577B" w:rsidRDefault="0018577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4DF04" w14:textId="77777777" w:rsidR="00F748A5" w:rsidRDefault="00F748A5" w:rsidP="00740AEA">
      <w:pPr>
        <w:spacing w:after="0" w:line="240" w:lineRule="auto"/>
      </w:pPr>
      <w:r>
        <w:separator/>
      </w:r>
    </w:p>
  </w:footnote>
  <w:footnote w:type="continuationSeparator" w:id="0">
    <w:p w14:paraId="6251A34A" w14:textId="77777777" w:rsidR="00F748A5" w:rsidRDefault="00F748A5" w:rsidP="00740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55BAC" w14:textId="5AE6C5AB" w:rsidR="0018577B" w:rsidRDefault="0018577B">
    <w:pPr>
      <w:pStyle w:val="Intestazione"/>
    </w:pPr>
    <w:r>
      <w:rPr>
        <w:noProof/>
        <w:lang w:eastAsia="it-IT"/>
      </w:rPr>
      <w:drawing>
        <wp:inline distT="0" distB="0" distL="0" distR="0" wp14:anchorId="456DCF4D" wp14:editId="20B69192">
          <wp:extent cx="2085975" cy="419100"/>
          <wp:effectExtent l="0" t="0" r="0" b="0"/>
          <wp:docPr id="9" name="CNF_colore_positiv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F_colore_positivo1"/>
                  <pic:cNvPicPr>
                    <a:picLocks noChangeAspect="1" noChangeArrowheads="1"/>
                  </pic:cNvPicPr>
                </pic:nvPicPr>
                <pic:blipFill>
                  <a:blip r:embed="rId1"/>
                  <a:srcRect l="-3" t="-17" r="-3" b="-17"/>
                  <a:stretch>
                    <a:fillRect/>
                  </a:stretch>
                </pic:blipFill>
                <pic:spPr bwMode="auto">
                  <a:xfrm>
                    <a:off x="0" y="0"/>
                    <a:ext cx="2085975" cy="419100"/>
                  </a:xfrm>
                  <a:prstGeom prst="rect">
                    <a:avLst/>
                  </a:prstGeom>
                </pic:spPr>
              </pic:pic>
            </a:graphicData>
          </a:graphic>
        </wp:inline>
      </w:drawing>
    </w:r>
    <w:r>
      <w:t xml:space="preserve"> </w:t>
    </w:r>
  </w:p>
  <w:p w14:paraId="08EAC894" w14:textId="77777777" w:rsidR="0018577B" w:rsidRDefault="0018577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9EB"/>
    <w:multiLevelType w:val="hybridMultilevel"/>
    <w:tmpl w:val="C5BC4128"/>
    <w:lvl w:ilvl="0" w:tplc="60BA593E">
      <w:numFmt w:val="bullet"/>
      <w:lvlText w:val="-"/>
      <w:lvlJc w:val="left"/>
      <w:pPr>
        <w:ind w:left="3905" w:hanging="360"/>
      </w:pPr>
      <w:rPr>
        <w:rFonts w:ascii="Calibri" w:eastAsiaTheme="minorHAnsi" w:hAnsi="Calibri" w:cstheme="minorBidi" w:hint="default"/>
      </w:rPr>
    </w:lvl>
    <w:lvl w:ilvl="1" w:tplc="04100003" w:tentative="1">
      <w:start w:val="1"/>
      <w:numFmt w:val="bullet"/>
      <w:lvlText w:val="o"/>
      <w:lvlJc w:val="left"/>
      <w:pPr>
        <w:ind w:left="4625" w:hanging="360"/>
      </w:pPr>
      <w:rPr>
        <w:rFonts w:ascii="Courier New" w:hAnsi="Courier New" w:cs="Courier New" w:hint="default"/>
      </w:rPr>
    </w:lvl>
    <w:lvl w:ilvl="2" w:tplc="04100005" w:tentative="1">
      <w:start w:val="1"/>
      <w:numFmt w:val="bullet"/>
      <w:lvlText w:val=""/>
      <w:lvlJc w:val="left"/>
      <w:pPr>
        <w:ind w:left="5345" w:hanging="360"/>
      </w:pPr>
      <w:rPr>
        <w:rFonts w:ascii="Wingdings" w:hAnsi="Wingdings" w:hint="default"/>
      </w:rPr>
    </w:lvl>
    <w:lvl w:ilvl="3" w:tplc="04100001" w:tentative="1">
      <w:start w:val="1"/>
      <w:numFmt w:val="bullet"/>
      <w:lvlText w:val=""/>
      <w:lvlJc w:val="left"/>
      <w:pPr>
        <w:ind w:left="6065" w:hanging="360"/>
      </w:pPr>
      <w:rPr>
        <w:rFonts w:ascii="Symbol" w:hAnsi="Symbol" w:hint="default"/>
      </w:rPr>
    </w:lvl>
    <w:lvl w:ilvl="4" w:tplc="04100003" w:tentative="1">
      <w:start w:val="1"/>
      <w:numFmt w:val="bullet"/>
      <w:lvlText w:val="o"/>
      <w:lvlJc w:val="left"/>
      <w:pPr>
        <w:ind w:left="6785" w:hanging="360"/>
      </w:pPr>
      <w:rPr>
        <w:rFonts w:ascii="Courier New" w:hAnsi="Courier New" w:cs="Courier New" w:hint="default"/>
      </w:rPr>
    </w:lvl>
    <w:lvl w:ilvl="5" w:tplc="04100005" w:tentative="1">
      <w:start w:val="1"/>
      <w:numFmt w:val="bullet"/>
      <w:lvlText w:val=""/>
      <w:lvlJc w:val="left"/>
      <w:pPr>
        <w:ind w:left="7505" w:hanging="360"/>
      </w:pPr>
      <w:rPr>
        <w:rFonts w:ascii="Wingdings" w:hAnsi="Wingdings" w:hint="default"/>
      </w:rPr>
    </w:lvl>
    <w:lvl w:ilvl="6" w:tplc="04100001" w:tentative="1">
      <w:start w:val="1"/>
      <w:numFmt w:val="bullet"/>
      <w:lvlText w:val=""/>
      <w:lvlJc w:val="left"/>
      <w:pPr>
        <w:ind w:left="8225" w:hanging="360"/>
      </w:pPr>
      <w:rPr>
        <w:rFonts w:ascii="Symbol" w:hAnsi="Symbol" w:hint="default"/>
      </w:rPr>
    </w:lvl>
    <w:lvl w:ilvl="7" w:tplc="04100003" w:tentative="1">
      <w:start w:val="1"/>
      <w:numFmt w:val="bullet"/>
      <w:lvlText w:val="o"/>
      <w:lvlJc w:val="left"/>
      <w:pPr>
        <w:ind w:left="8945" w:hanging="360"/>
      </w:pPr>
      <w:rPr>
        <w:rFonts w:ascii="Courier New" w:hAnsi="Courier New" w:cs="Courier New" w:hint="default"/>
      </w:rPr>
    </w:lvl>
    <w:lvl w:ilvl="8" w:tplc="04100005" w:tentative="1">
      <w:start w:val="1"/>
      <w:numFmt w:val="bullet"/>
      <w:lvlText w:val=""/>
      <w:lvlJc w:val="left"/>
      <w:pPr>
        <w:ind w:left="9665" w:hanging="360"/>
      </w:pPr>
      <w:rPr>
        <w:rFonts w:ascii="Wingdings" w:hAnsi="Wingdings" w:hint="default"/>
      </w:rPr>
    </w:lvl>
  </w:abstractNum>
  <w:abstractNum w:abstractNumId="1">
    <w:nsid w:val="05B814C5"/>
    <w:multiLevelType w:val="hybridMultilevel"/>
    <w:tmpl w:val="DA825F3E"/>
    <w:lvl w:ilvl="0" w:tplc="04100019">
      <w:start w:val="1"/>
      <w:numFmt w:val="lowerLetter"/>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
    <w:nsid w:val="07672246"/>
    <w:multiLevelType w:val="hybridMultilevel"/>
    <w:tmpl w:val="2DA80ECE"/>
    <w:lvl w:ilvl="0" w:tplc="AD96E1D4">
      <w:numFmt w:val="bullet"/>
      <w:lvlText w:val="-"/>
      <w:lvlJc w:val="left"/>
      <w:pPr>
        <w:ind w:left="1068" w:hanging="360"/>
      </w:pPr>
      <w:rPr>
        <w:rFonts w:ascii="Arial" w:eastAsia="Calibr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0D0A5DBA"/>
    <w:multiLevelType w:val="hybridMultilevel"/>
    <w:tmpl w:val="871EF03A"/>
    <w:lvl w:ilvl="0" w:tplc="CE645FAA">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B933BD"/>
    <w:multiLevelType w:val="hybridMultilevel"/>
    <w:tmpl w:val="3C06229A"/>
    <w:lvl w:ilvl="0" w:tplc="60BA593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6A1CA8"/>
    <w:multiLevelType w:val="hybridMultilevel"/>
    <w:tmpl w:val="8AC078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6B6031D"/>
    <w:multiLevelType w:val="hybridMultilevel"/>
    <w:tmpl w:val="FAA05820"/>
    <w:lvl w:ilvl="0" w:tplc="258A87B0">
      <w:start w:val="3"/>
      <w:numFmt w:val="bullet"/>
      <w:lvlText w:val="-"/>
      <w:lvlJc w:val="left"/>
      <w:pPr>
        <w:ind w:left="720" w:hanging="360"/>
      </w:pPr>
      <w:rPr>
        <w:rFonts w:ascii="Arial" w:eastAsia="Calibri"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8F351D1"/>
    <w:multiLevelType w:val="hybridMultilevel"/>
    <w:tmpl w:val="27F64A9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19FC18D3"/>
    <w:multiLevelType w:val="hybridMultilevel"/>
    <w:tmpl w:val="025033EA"/>
    <w:lvl w:ilvl="0" w:tplc="60BA593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E585C66"/>
    <w:multiLevelType w:val="multilevel"/>
    <w:tmpl w:val="1562B0D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2845634"/>
    <w:multiLevelType w:val="hybridMultilevel"/>
    <w:tmpl w:val="A5287B7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1">
    <w:nsid w:val="27AE6DF3"/>
    <w:multiLevelType w:val="hybridMultilevel"/>
    <w:tmpl w:val="6E8A1646"/>
    <w:lvl w:ilvl="0" w:tplc="720811E2">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CC94D73"/>
    <w:multiLevelType w:val="hybridMultilevel"/>
    <w:tmpl w:val="19ECC7F0"/>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3">
    <w:nsid w:val="36C3265D"/>
    <w:multiLevelType w:val="hybridMultilevel"/>
    <w:tmpl w:val="11621C42"/>
    <w:lvl w:ilvl="0" w:tplc="B274953E">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nsid w:val="3D8008F5"/>
    <w:multiLevelType w:val="multilevel"/>
    <w:tmpl w:val="971CA034"/>
    <w:lvl w:ilvl="0">
      <w:start w:val="2"/>
      <w:numFmt w:val="decimal"/>
      <w:lvlText w:val="%1."/>
      <w:lvlJc w:val="left"/>
      <w:pPr>
        <w:ind w:left="720" w:hanging="360"/>
      </w:pPr>
      <w:rPr>
        <w:rFonts w:hint="default"/>
      </w:rPr>
    </w:lvl>
    <w:lvl w:ilvl="1">
      <w:start w:val="1"/>
      <w:numFmt w:val="decimal"/>
      <w:isLgl/>
      <w:lvlText w:val="%1.%2."/>
      <w:lvlJc w:val="left"/>
      <w:pPr>
        <w:ind w:left="5257" w:hanging="720"/>
      </w:pPr>
      <w:rPr>
        <w:rFonts w:hint="default"/>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40542998"/>
    <w:multiLevelType w:val="hybridMultilevel"/>
    <w:tmpl w:val="DEE8F7DC"/>
    <w:lvl w:ilvl="0" w:tplc="7D22FF56">
      <w:start w:val="1"/>
      <w:numFmt w:val="lowerLetter"/>
      <w:lvlText w:val="%1)"/>
      <w:lvlJc w:val="left"/>
      <w:pPr>
        <w:ind w:left="786" w:hanging="360"/>
      </w:pPr>
      <w:rPr>
        <w:rFonts w:hint="default"/>
        <w:b w:val="0"/>
        <w:bCs/>
        <w:i/>
        <w:i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nsid w:val="4D0B5F86"/>
    <w:multiLevelType w:val="hybridMultilevel"/>
    <w:tmpl w:val="023E53C0"/>
    <w:lvl w:ilvl="0" w:tplc="A23C675E">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nsid w:val="554034A7"/>
    <w:multiLevelType w:val="hybridMultilevel"/>
    <w:tmpl w:val="4120CD4C"/>
    <w:lvl w:ilvl="0" w:tplc="1C84799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56537FFC"/>
    <w:multiLevelType w:val="hybridMultilevel"/>
    <w:tmpl w:val="53A8A49C"/>
    <w:lvl w:ilvl="0" w:tplc="859657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9607348"/>
    <w:multiLevelType w:val="hybridMultilevel"/>
    <w:tmpl w:val="7382CF52"/>
    <w:lvl w:ilvl="0" w:tplc="0DF250C8">
      <w:numFmt w:val="bullet"/>
      <w:lvlText w:val="-"/>
      <w:lvlJc w:val="left"/>
      <w:pPr>
        <w:ind w:left="786" w:hanging="360"/>
      </w:pPr>
      <w:rPr>
        <w:rFonts w:ascii="Arial" w:eastAsia="Calibri" w:hAnsi="Arial"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0">
    <w:nsid w:val="5C590CC9"/>
    <w:multiLevelType w:val="hybridMultilevel"/>
    <w:tmpl w:val="159EAE86"/>
    <w:lvl w:ilvl="0" w:tplc="DDAA4712">
      <w:start w:val="1"/>
      <w:numFmt w:val="lowerLetter"/>
      <w:lvlText w:val="%1."/>
      <w:lvlJc w:val="left"/>
      <w:pPr>
        <w:ind w:left="786" w:hanging="36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1">
    <w:nsid w:val="61ED0EBE"/>
    <w:multiLevelType w:val="hybridMultilevel"/>
    <w:tmpl w:val="9D040910"/>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nsid w:val="62AF2F19"/>
    <w:multiLevelType w:val="hybridMultilevel"/>
    <w:tmpl w:val="2732EBA4"/>
    <w:lvl w:ilvl="0" w:tplc="8826C21A">
      <w:start w:val="1"/>
      <w:numFmt w:val="lowerLetter"/>
      <w:lvlText w:val="%1."/>
      <w:lvlJc w:val="left"/>
      <w:pPr>
        <w:ind w:left="1146" w:hanging="360"/>
      </w:pPr>
      <w:rPr>
        <w:b/>
        <w:bCs/>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3">
    <w:nsid w:val="6F277A10"/>
    <w:multiLevelType w:val="hybridMultilevel"/>
    <w:tmpl w:val="63BCBD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4C04408"/>
    <w:multiLevelType w:val="hybridMultilevel"/>
    <w:tmpl w:val="CE481D32"/>
    <w:lvl w:ilvl="0" w:tplc="D85E322A">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5">
    <w:nsid w:val="79672FA0"/>
    <w:multiLevelType w:val="multilevel"/>
    <w:tmpl w:val="872C3D8E"/>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B8A3AA0"/>
    <w:multiLevelType w:val="hybridMultilevel"/>
    <w:tmpl w:val="AB7AF5E4"/>
    <w:lvl w:ilvl="0" w:tplc="D1F68A4C">
      <w:start w:val="1"/>
      <w:numFmt w:val="lowerLetter"/>
      <w:lvlText w:val="%1)"/>
      <w:lvlJc w:val="left"/>
      <w:pPr>
        <w:ind w:left="786" w:hanging="360"/>
      </w:pPr>
      <w:rPr>
        <w:rFonts w:hint="default"/>
        <w:i/>
        <w:i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nsid w:val="7EAC51D3"/>
    <w:multiLevelType w:val="multilevel"/>
    <w:tmpl w:val="9BE64128"/>
    <w:lvl w:ilvl="0">
      <w:start w:val="7"/>
      <w:numFmt w:val="decimal"/>
      <w:lvlText w:val="%1."/>
      <w:lvlJc w:val="left"/>
      <w:pPr>
        <w:ind w:left="720" w:hanging="360"/>
      </w:pPr>
      <w:rPr>
        <w:rFonts w:hint="default"/>
      </w:rPr>
    </w:lvl>
    <w:lvl w:ilvl="1">
      <w:start w:val="1"/>
      <w:numFmt w:val="decimal"/>
      <w:isLgl/>
      <w:lvlText w:val="%1.%2."/>
      <w:lvlJc w:val="left"/>
      <w:pPr>
        <w:ind w:left="4406" w:hanging="720"/>
      </w:pPr>
      <w:rPr>
        <w:rFonts w:hint="default"/>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3"/>
  </w:num>
  <w:num w:numId="3">
    <w:abstractNumId w:val="8"/>
  </w:num>
  <w:num w:numId="4">
    <w:abstractNumId w:val="14"/>
  </w:num>
  <w:num w:numId="5">
    <w:abstractNumId w:val="6"/>
  </w:num>
  <w:num w:numId="6">
    <w:abstractNumId w:val="25"/>
  </w:num>
  <w:num w:numId="7">
    <w:abstractNumId w:val="9"/>
  </w:num>
  <w:num w:numId="8">
    <w:abstractNumId w:val="0"/>
  </w:num>
  <w:num w:numId="9">
    <w:abstractNumId w:val="4"/>
  </w:num>
  <w:num w:numId="10">
    <w:abstractNumId w:val="7"/>
  </w:num>
  <w:num w:numId="11">
    <w:abstractNumId w:val="10"/>
  </w:num>
  <w:num w:numId="12">
    <w:abstractNumId w:val="17"/>
  </w:num>
  <w:num w:numId="13">
    <w:abstractNumId w:val="18"/>
  </w:num>
  <w:num w:numId="14">
    <w:abstractNumId w:val="1"/>
  </w:num>
  <w:num w:numId="15">
    <w:abstractNumId w:val="21"/>
  </w:num>
  <w:num w:numId="16">
    <w:abstractNumId w:val="27"/>
  </w:num>
  <w:num w:numId="17">
    <w:abstractNumId w:val="12"/>
  </w:num>
  <w:num w:numId="18">
    <w:abstractNumId w:val="20"/>
  </w:num>
  <w:num w:numId="19">
    <w:abstractNumId w:val="22"/>
  </w:num>
  <w:num w:numId="20">
    <w:abstractNumId w:val="13"/>
  </w:num>
  <w:num w:numId="21">
    <w:abstractNumId w:val="19"/>
  </w:num>
  <w:num w:numId="22">
    <w:abstractNumId w:val="26"/>
  </w:num>
  <w:num w:numId="23">
    <w:abstractNumId w:val="15"/>
  </w:num>
  <w:num w:numId="24">
    <w:abstractNumId w:val="16"/>
  </w:num>
  <w:num w:numId="25">
    <w:abstractNumId w:val="2"/>
  </w:num>
  <w:num w:numId="26">
    <w:abstractNumId w:val="24"/>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28"/>
    <w:rsid w:val="000053DA"/>
    <w:rsid w:val="00005AFD"/>
    <w:rsid w:val="00012D6D"/>
    <w:rsid w:val="000132C8"/>
    <w:rsid w:val="00014D88"/>
    <w:rsid w:val="00016786"/>
    <w:rsid w:val="00021ACB"/>
    <w:rsid w:val="000246B3"/>
    <w:rsid w:val="000255CB"/>
    <w:rsid w:val="00027C98"/>
    <w:rsid w:val="00030FFF"/>
    <w:rsid w:val="00047812"/>
    <w:rsid w:val="00056636"/>
    <w:rsid w:val="0006626B"/>
    <w:rsid w:val="00080208"/>
    <w:rsid w:val="00085504"/>
    <w:rsid w:val="000933B7"/>
    <w:rsid w:val="000A1D46"/>
    <w:rsid w:val="000A48B4"/>
    <w:rsid w:val="000A542F"/>
    <w:rsid w:val="000B7307"/>
    <w:rsid w:val="000B7C6D"/>
    <w:rsid w:val="000C1388"/>
    <w:rsid w:val="000C3D2C"/>
    <w:rsid w:val="000C76A1"/>
    <w:rsid w:val="000D47D6"/>
    <w:rsid w:val="000E0924"/>
    <w:rsid w:val="000E17B8"/>
    <w:rsid w:val="000E3755"/>
    <w:rsid w:val="000F257C"/>
    <w:rsid w:val="000F282F"/>
    <w:rsid w:val="000F4490"/>
    <w:rsid w:val="000F6CA8"/>
    <w:rsid w:val="000F7801"/>
    <w:rsid w:val="000F790B"/>
    <w:rsid w:val="00100609"/>
    <w:rsid w:val="00101FDE"/>
    <w:rsid w:val="001032BC"/>
    <w:rsid w:val="00115716"/>
    <w:rsid w:val="00115E94"/>
    <w:rsid w:val="00116CF7"/>
    <w:rsid w:val="0012022C"/>
    <w:rsid w:val="00124CC2"/>
    <w:rsid w:val="00124CD5"/>
    <w:rsid w:val="0012557B"/>
    <w:rsid w:val="00130C12"/>
    <w:rsid w:val="00155462"/>
    <w:rsid w:val="00161BE6"/>
    <w:rsid w:val="00166566"/>
    <w:rsid w:val="00167D11"/>
    <w:rsid w:val="00175AAA"/>
    <w:rsid w:val="00177817"/>
    <w:rsid w:val="00183E42"/>
    <w:rsid w:val="00184B54"/>
    <w:rsid w:val="0018577B"/>
    <w:rsid w:val="00185B5B"/>
    <w:rsid w:val="00187E5E"/>
    <w:rsid w:val="00194B05"/>
    <w:rsid w:val="00196B30"/>
    <w:rsid w:val="001A63A8"/>
    <w:rsid w:val="001C062D"/>
    <w:rsid w:val="001C25B3"/>
    <w:rsid w:val="001D09B3"/>
    <w:rsid w:val="001D2099"/>
    <w:rsid w:val="001D2605"/>
    <w:rsid w:val="001D39E8"/>
    <w:rsid w:val="001D636D"/>
    <w:rsid w:val="001D7716"/>
    <w:rsid w:val="001E3347"/>
    <w:rsid w:val="001E367A"/>
    <w:rsid w:val="001E66E4"/>
    <w:rsid w:val="001E7577"/>
    <w:rsid w:val="001F0836"/>
    <w:rsid w:val="001F4FC8"/>
    <w:rsid w:val="001F594E"/>
    <w:rsid w:val="001F776A"/>
    <w:rsid w:val="00205F1A"/>
    <w:rsid w:val="0020765D"/>
    <w:rsid w:val="00214337"/>
    <w:rsid w:val="002228F3"/>
    <w:rsid w:val="00225C46"/>
    <w:rsid w:val="002276F5"/>
    <w:rsid w:val="00232388"/>
    <w:rsid w:val="00250E8D"/>
    <w:rsid w:val="0025293A"/>
    <w:rsid w:val="00257BA6"/>
    <w:rsid w:val="00265960"/>
    <w:rsid w:val="00265CF4"/>
    <w:rsid w:val="002719EF"/>
    <w:rsid w:val="00280813"/>
    <w:rsid w:val="00281297"/>
    <w:rsid w:val="00283E0C"/>
    <w:rsid w:val="00284B7E"/>
    <w:rsid w:val="00290E93"/>
    <w:rsid w:val="002943BA"/>
    <w:rsid w:val="00295103"/>
    <w:rsid w:val="00295EB7"/>
    <w:rsid w:val="00296C34"/>
    <w:rsid w:val="002A3FBE"/>
    <w:rsid w:val="002A3FD0"/>
    <w:rsid w:val="002B5C21"/>
    <w:rsid w:val="002C58F6"/>
    <w:rsid w:val="002C72C0"/>
    <w:rsid w:val="002D3A12"/>
    <w:rsid w:val="002D7936"/>
    <w:rsid w:val="002E6DB1"/>
    <w:rsid w:val="002E701B"/>
    <w:rsid w:val="002F0ABB"/>
    <w:rsid w:val="002F3EE1"/>
    <w:rsid w:val="002F6C6D"/>
    <w:rsid w:val="003055DD"/>
    <w:rsid w:val="003067B5"/>
    <w:rsid w:val="003205B8"/>
    <w:rsid w:val="003216A8"/>
    <w:rsid w:val="003318D7"/>
    <w:rsid w:val="00335666"/>
    <w:rsid w:val="003428BF"/>
    <w:rsid w:val="00345970"/>
    <w:rsid w:val="0035124B"/>
    <w:rsid w:val="00357F07"/>
    <w:rsid w:val="00360748"/>
    <w:rsid w:val="00360D71"/>
    <w:rsid w:val="00366CD5"/>
    <w:rsid w:val="003706C6"/>
    <w:rsid w:val="003714BA"/>
    <w:rsid w:val="003779BC"/>
    <w:rsid w:val="003876DF"/>
    <w:rsid w:val="003A2438"/>
    <w:rsid w:val="003A6338"/>
    <w:rsid w:val="003B4E39"/>
    <w:rsid w:val="003C13EA"/>
    <w:rsid w:val="003D04F8"/>
    <w:rsid w:val="003D19A8"/>
    <w:rsid w:val="003D4907"/>
    <w:rsid w:val="003E0E19"/>
    <w:rsid w:val="003E75EF"/>
    <w:rsid w:val="003F6BAF"/>
    <w:rsid w:val="003F7722"/>
    <w:rsid w:val="0041057A"/>
    <w:rsid w:val="00412611"/>
    <w:rsid w:val="00412B9C"/>
    <w:rsid w:val="00414F1C"/>
    <w:rsid w:val="004228A4"/>
    <w:rsid w:val="00431A61"/>
    <w:rsid w:val="004373A6"/>
    <w:rsid w:val="0045065C"/>
    <w:rsid w:val="00457D37"/>
    <w:rsid w:val="00460987"/>
    <w:rsid w:val="0046334E"/>
    <w:rsid w:val="00463D5F"/>
    <w:rsid w:val="004659F8"/>
    <w:rsid w:val="00480239"/>
    <w:rsid w:val="00480480"/>
    <w:rsid w:val="00483B58"/>
    <w:rsid w:val="00487105"/>
    <w:rsid w:val="00487E82"/>
    <w:rsid w:val="0049548F"/>
    <w:rsid w:val="00495538"/>
    <w:rsid w:val="004A0925"/>
    <w:rsid w:val="004A34E7"/>
    <w:rsid w:val="004A541A"/>
    <w:rsid w:val="004B3887"/>
    <w:rsid w:val="004B59B4"/>
    <w:rsid w:val="004B62A1"/>
    <w:rsid w:val="004C2253"/>
    <w:rsid w:val="004C39EF"/>
    <w:rsid w:val="004C498E"/>
    <w:rsid w:val="004D35E2"/>
    <w:rsid w:val="004D6318"/>
    <w:rsid w:val="004D6EA3"/>
    <w:rsid w:val="004F43C0"/>
    <w:rsid w:val="004F7336"/>
    <w:rsid w:val="00501C7F"/>
    <w:rsid w:val="00505E25"/>
    <w:rsid w:val="00511382"/>
    <w:rsid w:val="005155CC"/>
    <w:rsid w:val="00524440"/>
    <w:rsid w:val="00536DA5"/>
    <w:rsid w:val="00544F7D"/>
    <w:rsid w:val="00547EA1"/>
    <w:rsid w:val="0055437E"/>
    <w:rsid w:val="0056045A"/>
    <w:rsid w:val="00565B99"/>
    <w:rsid w:val="00573081"/>
    <w:rsid w:val="00573CFE"/>
    <w:rsid w:val="005832E9"/>
    <w:rsid w:val="0058516D"/>
    <w:rsid w:val="00587EB9"/>
    <w:rsid w:val="005907AE"/>
    <w:rsid w:val="00591638"/>
    <w:rsid w:val="00597FAC"/>
    <w:rsid w:val="005A267E"/>
    <w:rsid w:val="005B426B"/>
    <w:rsid w:val="005B691F"/>
    <w:rsid w:val="005B7080"/>
    <w:rsid w:val="005C01FF"/>
    <w:rsid w:val="005C2FD8"/>
    <w:rsid w:val="005D64BE"/>
    <w:rsid w:val="005E0AEA"/>
    <w:rsid w:val="005E55CC"/>
    <w:rsid w:val="005E7D9A"/>
    <w:rsid w:val="00602399"/>
    <w:rsid w:val="00616411"/>
    <w:rsid w:val="00620FDB"/>
    <w:rsid w:val="0062260A"/>
    <w:rsid w:val="006242B9"/>
    <w:rsid w:val="00631B18"/>
    <w:rsid w:val="00640407"/>
    <w:rsid w:val="006411CB"/>
    <w:rsid w:val="00641EEB"/>
    <w:rsid w:val="006437E6"/>
    <w:rsid w:val="00651B2A"/>
    <w:rsid w:val="00652E8B"/>
    <w:rsid w:val="00653E36"/>
    <w:rsid w:val="00654BCF"/>
    <w:rsid w:val="00656A9E"/>
    <w:rsid w:val="0066071A"/>
    <w:rsid w:val="00667491"/>
    <w:rsid w:val="00670F4F"/>
    <w:rsid w:val="006714A8"/>
    <w:rsid w:val="00675C4F"/>
    <w:rsid w:val="00676552"/>
    <w:rsid w:val="00680D08"/>
    <w:rsid w:val="006848ED"/>
    <w:rsid w:val="006974DA"/>
    <w:rsid w:val="006A1F08"/>
    <w:rsid w:val="006A2C14"/>
    <w:rsid w:val="006A36BB"/>
    <w:rsid w:val="006A5A19"/>
    <w:rsid w:val="006A6828"/>
    <w:rsid w:val="006A6B73"/>
    <w:rsid w:val="006A7B56"/>
    <w:rsid w:val="006A7C63"/>
    <w:rsid w:val="006B134B"/>
    <w:rsid w:val="006B610D"/>
    <w:rsid w:val="006B6E4F"/>
    <w:rsid w:val="006C2EDA"/>
    <w:rsid w:val="006C3A98"/>
    <w:rsid w:val="006C638E"/>
    <w:rsid w:val="006C665A"/>
    <w:rsid w:val="006D0D6C"/>
    <w:rsid w:val="006D0F4F"/>
    <w:rsid w:val="006D2BAA"/>
    <w:rsid w:val="006D3A5F"/>
    <w:rsid w:val="006D7DEE"/>
    <w:rsid w:val="006E1CEA"/>
    <w:rsid w:val="006F4CA0"/>
    <w:rsid w:val="006F755E"/>
    <w:rsid w:val="00700195"/>
    <w:rsid w:val="00705EB7"/>
    <w:rsid w:val="00711E3B"/>
    <w:rsid w:val="007129B5"/>
    <w:rsid w:val="00712D59"/>
    <w:rsid w:val="00716451"/>
    <w:rsid w:val="00721840"/>
    <w:rsid w:val="00723D34"/>
    <w:rsid w:val="00727941"/>
    <w:rsid w:val="00730D8B"/>
    <w:rsid w:val="00740AEA"/>
    <w:rsid w:val="00746C34"/>
    <w:rsid w:val="007612F5"/>
    <w:rsid w:val="007651D4"/>
    <w:rsid w:val="007724D5"/>
    <w:rsid w:val="00775155"/>
    <w:rsid w:val="007858D4"/>
    <w:rsid w:val="0078609D"/>
    <w:rsid w:val="0078712D"/>
    <w:rsid w:val="0079002A"/>
    <w:rsid w:val="00791965"/>
    <w:rsid w:val="00791B3F"/>
    <w:rsid w:val="0079309C"/>
    <w:rsid w:val="007965D0"/>
    <w:rsid w:val="007977E5"/>
    <w:rsid w:val="007A063F"/>
    <w:rsid w:val="007A1AF4"/>
    <w:rsid w:val="007D315D"/>
    <w:rsid w:val="007D449F"/>
    <w:rsid w:val="007D52DC"/>
    <w:rsid w:val="007D79E5"/>
    <w:rsid w:val="007E3C7D"/>
    <w:rsid w:val="007F5F35"/>
    <w:rsid w:val="007F61DF"/>
    <w:rsid w:val="00801107"/>
    <w:rsid w:val="00806E5C"/>
    <w:rsid w:val="00810A5C"/>
    <w:rsid w:val="00812116"/>
    <w:rsid w:val="008177F3"/>
    <w:rsid w:val="0082077C"/>
    <w:rsid w:val="00822B60"/>
    <w:rsid w:val="00827208"/>
    <w:rsid w:val="00830C00"/>
    <w:rsid w:val="008403F8"/>
    <w:rsid w:val="008415DF"/>
    <w:rsid w:val="00846CB3"/>
    <w:rsid w:val="008476CD"/>
    <w:rsid w:val="008508F1"/>
    <w:rsid w:val="00850DB2"/>
    <w:rsid w:val="00855385"/>
    <w:rsid w:val="0085592F"/>
    <w:rsid w:val="00862271"/>
    <w:rsid w:val="00862D9A"/>
    <w:rsid w:val="008646DE"/>
    <w:rsid w:val="00870CDF"/>
    <w:rsid w:val="0087432C"/>
    <w:rsid w:val="00876324"/>
    <w:rsid w:val="00887259"/>
    <w:rsid w:val="00890F38"/>
    <w:rsid w:val="00892599"/>
    <w:rsid w:val="00894BCD"/>
    <w:rsid w:val="008A0422"/>
    <w:rsid w:val="008A0538"/>
    <w:rsid w:val="008A0DA5"/>
    <w:rsid w:val="008A14CC"/>
    <w:rsid w:val="008A1D8A"/>
    <w:rsid w:val="008A4AD4"/>
    <w:rsid w:val="008B3ABE"/>
    <w:rsid w:val="008C020F"/>
    <w:rsid w:val="008C0701"/>
    <w:rsid w:val="008C188F"/>
    <w:rsid w:val="008D0B39"/>
    <w:rsid w:val="008D408A"/>
    <w:rsid w:val="008D449D"/>
    <w:rsid w:val="008E1070"/>
    <w:rsid w:val="008E162E"/>
    <w:rsid w:val="008E24A6"/>
    <w:rsid w:val="008F036F"/>
    <w:rsid w:val="008F6B0F"/>
    <w:rsid w:val="008F7294"/>
    <w:rsid w:val="00903AB5"/>
    <w:rsid w:val="00907709"/>
    <w:rsid w:val="00922146"/>
    <w:rsid w:val="00922C11"/>
    <w:rsid w:val="00923AA9"/>
    <w:rsid w:val="00924370"/>
    <w:rsid w:val="00924C2D"/>
    <w:rsid w:val="00924EB6"/>
    <w:rsid w:val="00927E24"/>
    <w:rsid w:val="00931740"/>
    <w:rsid w:val="00933E52"/>
    <w:rsid w:val="009369CA"/>
    <w:rsid w:val="00936BA2"/>
    <w:rsid w:val="00940F9D"/>
    <w:rsid w:val="0094173C"/>
    <w:rsid w:val="00943AEF"/>
    <w:rsid w:val="00943FCB"/>
    <w:rsid w:val="0095246D"/>
    <w:rsid w:val="009549EA"/>
    <w:rsid w:val="0096244D"/>
    <w:rsid w:val="009665A9"/>
    <w:rsid w:val="00975295"/>
    <w:rsid w:val="00980DFA"/>
    <w:rsid w:val="00981D4D"/>
    <w:rsid w:val="00985802"/>
    <w:rsid w:val="0099369B"/>
    <w:rsid w:val="00996187"/>
    <w:rsid w:val="009A145F"/>
    <w:rsid w:val="009B1A25"/>
    <w:rsid w:val="009C076F"/>
    <w:rsid w:val="009C3419"/>
    <w:rsid w:val="009C78FA"/>
    <w:rsid w:val="009D05B4"/>
    <w:rsid w:val="009D5B6F"/>
    <w:rsid w:val="009E46BF"/>
    <w:rsid w:val="009F2E9B"/>
    <w:rsid w:val="00A05952"/>
    <w:rsid w:val="00A06A80"/>
    <w:rsid w:val="00A13255"/>
    <w:rsid w:val="00A157DD"/>
    <w:rsid w:val="00A17949"/>
    <w:rsid w:val="00A24A86"/>
    <w:rsid w:val="00A32C21"/>
    <w:rsid w:val="00A41345"/>
    <w:rsid w:val="00A41529"/>
    <w:rsid w:val="00A430E0"/>
    <w:rsid w:val="00A45986"/>
    <w:rsid w:val="00A46792"/>
    <w:rsid w:val="00A47661"/>
    <w:rsid w:val="00A50E83"/>
    <w:rsid w:val="00A51A59"/>
    <w:rsid w:val="00A53D74"/>
    <w:rsid w:val="00A56AD6"/>
    <w:rsid w:val="00A579D8"/>
    <w:rsid w:val="00A633DD"/>
    <w:rsid w:val="00A659E8"/>
    <w:rsid w:val="00A71A24"/>
    <w:rsid w:val="00A73322"/>
    <w:rsid w:val="00A75210"/>
    <w:rsid w:val="00A76F60"/>
    <w:rsid w:val="00A83089"/>
    <w:rsid w:val="00A9240C"/>
    <w:rsid w:val="00AB47EA"/>
    <w:rsid w:val="00AB5D10"/>
    <w:rsid w:val="00AC0C1B"/>
    <w:rsid w:val="00AC4969"/>
    <w:rsid w:val="00AD5330"/>
    <w:rsid w:val="00AD66BE"/>
    <w:rsid w:val="00AE01A3"/>
    <w:rsid w:val="00AF192E"/>
    <w:rsid w:val="00B00F16"/>
    <w:rsid w:val="00B02B38"/>
    <w:rsid w:val="00B05C7C"/>
    <w:rsid w:val="00B0623F"/>
    <w:rsid w:val="00B122F6"/>
    <w:rsid w:val="00B20CFD"/>
    <w:rsid w:val="00B21F0E"/>
    <w:rsid w:val="00B223F5"/>
    <w:rsid w:val="00B2444F"/>
    <w:rsid w:val="00B35064"/>
    <w:rsid w:val="00B36C7F"/>
    <w:rsid w:val="00B462AB"/>
    <w:rsid w:val="00B51713"/>
    <w:rsid w:val="00B52AF7"/>
    <w:rsid w:val="00B53258"/>
    <w:rsid w:val="00B53279"/>
    <w:rsid w:val="00B534E2"/>
    <w:rsid w:val="00B536C4"/>
    <w:rsid w:val="00B55EA1"/>
    <w:rsid w:val="00B576CB"/>
    <w:rsid w:val="00B609D3"/>
    <w:rsid w:val="00B61F08"/>
    <w:rsid w:val="00B6202F"/>
    <w:rsid w:val="00B6331D"/>
    <w:rsid w:val="00B65CEF"/>
    <w:rsid w:val="00B80C9D"/>
    <w:rsid w:val="00B8132F"/>
    <w:rsid w:val="00B81FB3"/>
    <w:rsid w:val="00B83CA8"/>
    <w:rsid w:val="00B8481E"/>
    <w:rsid w:val="00B92D16"/>
    <w:rsid w:val="00B96DD1"/>
    <w:rsid w:val="00B96E7B"/>
    <w:rsid w:val="00BA07E0"/>
    <w:rsid w:val="00BA1A08"/>
    <w:rsid w:val="00BA3C24"/>
    <w:rsid w:val="00BA5D34"/>
    <w:rsid w:val="00BB148D"/>
    <w:rsid w:val="00BB40C2"/>
    <w:rsid w:val="00BB66A7"/>
    <w:rsid w:val="00BC03E4"/>
    <w:rsid w:val="00BC6555"/>
    <w:rsid w:val="00BD0BA7"/>
    <w:rsid w:val="00BD1689"/>
    <w:rsid w:val="00BE006F"/>
    <w:rsid w:val="00BE16DA"/>
    <w:rsid w:val="00C000AC"/>
    <w:rsid w:val="00C000D6"/>
    <w:rsid w:val="00C028FC"/>
    <w:rsid w:val="00C0333E"/>
    <w:rsid w:val="00C03553"/>
    <w:rsid w:val="00C04A32"/>
    <w:rsid w:val="00C06AE9"/>
    <w:rsid w:val="00C124D0"/>
    <w:rsid w:val="00C14A22"/>
    <w:rsid w:val="00C20D26"/>
    <w:rsid w:val="00C22A8E"/>
    <w:rsid w:val="00C24436"/>
    <w:rsid w:val="00C32434"/>
    <w:rsid w:val="00C3581D"/>
    <w:rsid w:val="00C36630"/>
    <w:rsid w:val="00C426E0"/>
    <w:rsid w:val="00C43289"/>
    <w:rsid w:val="00C456D7"/>
    <w:rsid w:val="00C46C7B"/>
    <w:rsid w:val="00C503F0"/>
    <w:rsid w:val="00C54AE9"/>
    <w:rsid w:val="00C55571"/>
    <w:rsid w:val="00C55D5B"/>
    <w:rsid w:val="00C57CB5"/>
    <w:rsid w:val="00C61979"/>
    <w:rsid w:val="00C629E5"/>
    <w:rsid w:val="00C6734A"/>
    <w:rsid w:val="00C7061E"/>
    <w:rsid w:val="00C767EA"/>
    <w:rsid w:val="00C822B6"/>
    <w:rsid w:val="00C828CA"/>
    <w:rsid w:val="00C856FA"/>
    <w:rsid w:val="00CA02EA"/>
    <w:rsid w:val="00CA295E"/>
    <w:rsid w:val="00CA3B52"/>
    <w:rsid w:val="00CA41C8"/>
    <w:rsid w:val="00CA4A84"/>
    <w:rsid w:val="00CB117A"/>
    <w:rsid w:val="00CB513A"/>
    <w:rsid w:val="00CB5E3C"/>
    <w:rsid w:val="00CB5F61"/>
    <w:rsid w:val="00CB6C0B"/>
    <w:rsid w:val="00CB7A65"/>
    <w:rsid w:val="00CC7E2B"/>
    <w:rsid w:val="00CC7EAE"/>
    <w:rsid w:val="00CD314E"/>
    <w:rsid w:val="00CD4114"/>
    <w:rsid w:val="00CD41E1"/>
    <w:rsid w:val="00CD51F8"/>
    <w:rsid w:val="00CE17F6"/>
    <w:rsid w:val="00CE2816"/>
    <w:rsid w:val="00CE4F6F"/>
    <w:rsid w:val="00CE585A"/>
    <w:rsid w:val="00CE6809"/>
    <w:rsid w:val="00CE6AAF"/>
    <w:rsid w:val="00CF198F"/>
    <w:rsid w:val="00CF2661"/>
    <w:rsid w:val="00D07713"/>
    <w:rsid w:val="00D11F1B"/>
    <w:rsid w:val="00D123FB"/>
    <w:rsid w:val="00D12D3A"/>
    <w:rsid w:val="00D1463A"/>
    <w:rsid w:val="00D149D6"/>
    <w:rsid w:val="00D1623B"/>
    <w:rsid w:val="00D2088C"/>
    <w:rsid w:val="00D24C89"/>
    <w:rsid w:val="00D35A60"/>
    <w:rsid w:val="00D44A2C"/>
    <w:rsid w:val="00D46DE4"/>
    <w:rsid w:val="00D5056B"/>
    <w:rsid w:val="00D5238E"/>
    <w:rsid w:val="00D548A2"/>
    <w:rsid w:val="00D6145B"/>
    <w:rsid w:val="00D62FE7"/>
    <w:rsid w:val="00D63D4D"/>
    <w:rsid w:val="00D67C55"/>
    <w:rsid w:val="00D71976"/>
    <w:rsid w:val="00D72043"/>
    <w:rsid w:val="00D7432D"/>
    <w:rsid w:val="00D75C39"/>
    <w:rsid w:val="00D821B9"/>
    <w:rsid w:val="00D84DFB"/>
    <w:rsid w:val="00D868BD"/>
    <w:rsid w:val="00D873C2"/>
    <w:rsid w:val="00D95802"/>
    <w:rsid w:val="00DB22C8"/>
    <w:rsid w:val="00DB3074"/>
    <w:rsid w:val="00DB4648"/>
    <w:rsid w:val="00DB4943"/>
    <w:rsid w:val="00DB7F0A"/>
    <w:rsid w:val="00DC4028"/>
    <w:rsid w:val="00DC4501"/>
    <w:rsid w:val="00DC5621"/>
    <w:rsid w:val="00DC7FD7"/>
    <w:rsid w:val="00DD10EA"/>
    <w:rsid w:val="00DD17EA"/>
    <w:rsid w:val="00DD49F7"/>
    <w:rsid w:val="00DD7E44"/>
    <w:rsid w:val="00DE2C6C"/>
    <w:rsid w:val="00DE40F1"/>
    <w:rsid w:val="00DF050D"/>
    <w:rsid w:val="00DF485F"/>
    <w:rsid w:val="00E064D4"/>
    <w:rsid w:val="00E11720"/>
    <w:rsid w:val="00E13E2A"/>
    <w:rsid w:val="00E1458F"/>
    <w:rsid w:val="00E22E39"/>
    <w:rsid w:val="00E323F1"/>
    <w:rsid w:val="00E32E6E"/>
    <w:rsid w:val="00E34036"/>
    <w:rsid w:val="00E35957"/>
    <w:rsid w:val="00E47266"/>
    <w:rsid w:val="00E506C0"/>
    <w:rsid w:val="00E50C12"/>
    <w:rsid w:val="00E70D6A"/>
    <w:rsid w:val="00E7140F"/>
    <w:rsid w:val="00E71726"/>
    <w:rsid w:val="00E72A2B"/>
    <w:rsid w:val="00E7315A"/>
    <w:rsid w:val="00E81E3B"/>
    <w:rsid w:val="00E834D5"/>
    <w:rsid w:val="00E83ABF"/>
    <w:rsid w:val="00E856BE"/>
    <w:rsid w:val="00E85AF6"/>
    <w:rsid w:val="00E92F96"/>
    <w:rsid w:val="00E96AF6"/>
    <w:rsid w:val="00EB78AE"/>
    <w:rsid w:val="00EC09BC"/>
    <w:rsid w:val="00ED2069"/>
    <w:rsid w:val="00ED4B22"/>
    <w:rsid w:val="00EE4497"/>
    <w:rsid w:val="00EE670B"/>
    <w:rsid w:val="00EE78B6"/>
    <w:rsid w:val="00EF0B73"/>
    <w:rsid w:val="00EF2961"/>
    <w:rsid w:val="00EF3ED8"/>
    <w:rsid w:val="00EF5DE7"/>
    <w:rsid w:val="00EF7B06"/>
    <w:rsid w:val="00F00B74"/>
    <w:rsid w:val="00F00E5E"/>
    <w:rsid w:val="00F030DF"/>
    <w:rsid w:val="00F0628D"/>
    <w:rsid w:val="00F0664B"/>
    <w:rsid w:val="00F10378"/>
    <w:rsid w:val="00F11291"/>
    <w:rsid w:val="00F16CB8"/>
    <w:rsid w:val="00F21042"/>
    <w:rsid w:val="00F22B16"/>
    <w:rsid w:val="00F26704"/>
    <w:rsid w:val="00F3107F"/>
    <w:rsid w:val="00F314E2"/>
    <w:rsid w:val="00F34E52"/>
    <w:rsid w:val="00F37B83"/>
    <w:rsid w:val="00F42214"/>
    <w:rsid w:val="00F46070"/>
    <w:rsid w:val="00F54A9F"/>
    <w:rsid w:val="00F552AA"/>
    <w:rsid w:val="00F578C6"/>
    <w:rsid w:val="00F61BC6"/>
    <w:rsid w:val="00F64505"/>
    <w:rsid w:val="00F70B27"/>
    <w:rsid w:val="00F71318"/>
    <w:rsid w:val="00F748A5"/>
    <w:rsid w:val="00F775F9"/>
    <w:rsid w:val="00F83662"/>
    <w:rsid w:val="00F85CDB"/>
    <w:rsid w:val="00F94AD5"/>
    <w:rsid w:val="00F94E27"/>
    <w:rsid w:val="00F97966"/>
    <w:rsid w:val="00FA2F05"/>
    <w:rsid w:val="00FB75F1"/>
    <w:rsid w:val="00FC47BB"/>
    <w:rsid w:val="00FD5BD7"/>
    <w:rsid w:val="00FD7866"/>
    <w:rsid w:val="00FE230D"/>
    <w:rsid w:val="00FE5498"/>
    <w:rsid w:val="00FF0C91"/>
    <w:rsid w:val="00FF1187"/>
    <w:rsid w:val="00FF45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2228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2228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740AE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40AEA"/>
    <w:rPr>
      <w:sz w:val="20"/>
      <w:szCs w:val="20"/>
    </w:rPr>
  </w:style>
  <w:style w:type="character" w:styleId="Rimandonotaapidipagina">
    <w:name w:val="footnote reference"/>
    <w:basedOn w:val="Carpredefinitoparagrafo"/>
    <w:uiPriority w:val="99"/>
    <w:unhideWhenUsed/>
    <w:qFormat/>
    <w:rsid w:val="00740AEA"/>
    <w:rPr>
      <w:vertAlign w:val="superscript"/>
    </w:rPr>
  </w:style>
  <w:style w:type="paragraph" w:styleId="Intestazione">
    <w:name w:val="header"/>
    <w:basedOn w:val="Normale"/>
    <w:link w:val="IntestazioneCarattere"/>
    <w:uiPriority w:val="99"/>
    <w:unhideWhenUsed/>
    <w:rsid w:val="00DC7F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C7FD7"/>
  </w:style>
  <w:style w:type="paragraph" w:styleId="Pidipagina">
    <w:name w:val="footer"/>
    <w:basedOn w:val="Normale"/>
    <w:link w:val="PidipaginaCarattere"/>
    <w:uiPriority w:val="99"/>
    <w:unhideWhenUsed/>
    <w:rsid w:val="00DC7F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7FD7"/>
  </w:style>
  <w:style w:type="character" w:customStyle="1" w:styleId="Richiamoallanotaapidipagina">
    <w:name w:val="Richiamo alla nota a piè di pagina"/>
    <w:rsid w:val="00DC7FD7"/>
    <w:rPr>
      <w:vertAlign w:val="superscript"/>
    </w:rPr>
  </w:style>
  <w:style w:type="paragraph" w:styleId="Testofumetto">
    <w:name w:val="Balloon Text"/>
    <w:basedOn w:val="Normale"/>
    <w:link w:val="TestofumettoCarattere"/>
    <w:uiPriority w:val="99"/>
    <w:semiHidden/>
    <w:unhideWhenUsed/>
    <w:rsid w:val="00B02B3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02B38"/>
    <w:rPr>
      <w:rFonts w:ascii="Segoe UI" w:hAnsi="Segoe UI" w:cs="Segoe UI"/>
      <w:sz w:val="18"/>
      <w:szCs w:val="18"/>
    </w:rPr>
  </w:style>
  <w:style w:type="paragraph" w:customStyle="1" w:styleId="Default">
    <w:name w:val="Default"/>
    <w:rsid w:val="00CB5F61"/>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 w:type="paragraph" w:styleId="Paragrafoelenco">
    <w:name w:val="List Paragraph"/>
    <w:basedOn w:val="Normale"/>
    <w:uiPriority w:val="34"/>
    <w:qFormat/>
    <w:rsid w:val="007724D5"/>
    <w:pPr>
      <w:ind w:left="720"/>
      <w:contextualSpacing/>
    </w:pPr>
  </w:style>
  <w:style w:type="table" w:customStyle="1" w:styleId="Grigliamedia1-Colore11">
    <w:name w:val="Griglia media 1 - Colore 11"/>
    <w:basedOn w:val="Tabellanormale"/>
    <w:next w:val="Grigliamedia1-Colore1"/>
    <w:uiPriority w:val="67"/>
    <w:rsid w:val="00B2444F"/>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gliamedia1-Colore1">
    <w:name w:val="Medium Grid 1 Accent 1"/>
    <w:basedOn w:val="Tabellanormale"/>
    <w:uiPriority w:val="67"/>
    <w:rsid w:val="00B2444F"/>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gliatabella">
    <w:name w:val="Table Grid"/>
    <w:basedOn w:val="Tabellanormale"/>
    <w:uiPriority w:val="39"/>
    <w:rsid w:val="0036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31B18"/>
    <w:rPr>
      <w:color w:val="0563C1" w:themeColor="hyperlink"/>
      <w:u w:val="single"/>
    </w:rPr>
  </w:style>
  <w:style w:type="character" w:styleId="Collegamentovisitato">
    <w:name w:val="FollowedHyperlink"/>
    <w:basedOn w:val="Carpredefinitoparagrafo"/>
    <w:uiPriority w:val="99"/>
    <w:semiHidden/>
    <w:unhideWhenUsed/>
    <w:rsid w:val="004228A4"/>
    <w:rPr>
      <w:color w:val="954F72" w:themeColor="followedHyperlink"/>
      <w:u w:val="single"/>
    </w:rPr>
  </w:style>
  <w:style w:type="paragraph" w:styleId="Revisione">
    <w:name w:val="Revision"/>
    <w:hidden/>
    <w:uiPriority w:val="99"/>
    <w:semiHidden/>
    <w:rsid w:val="00927E24"/>
    <w:pPr>
      <w:spacing w:after="0" w:line="240" w:lineRule="auto"/>
    </w:pPr>
  </w:style>
  <w:style w:type="character" w:customStyle="1" w:styleId="Menzionenonrisolta1">
    <w:name w:val="Menzione non risolta1"/>
    <w:basedOn w:val="Carpredefinitoparagrafo"/>
    <w:uiPriority w:val="99"/>
    <w:semiHidden/>
    <w:unhideWhenUsed/>
    <w:rsid w:val="003876DF"/>
    <w:rPr>
      <w:color w:val="808080"/>
      <w:shd w:val="clear" w:color="auto" w:fill="E6E6E6"/>
    </w:rPr>
  </w:style>
  <w:style w:type="character" w:customStyle="1" w:styleId="Titolo1Carattere">
    <w:name w:val="Titolo 1 Carattere"/>
    <w:basedOn w:val="Carpredefinitoparagrafo"/>
    <w:link w:val="Titolo1"/>
    <w:uiPriority w:val="9"/>
    <w:rsid w:val="002228F3"/>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2228F3"/>
    <w:rPr>
      <w:rFonts w:asciiTheme="majorHAnsi" w:eastAsiaTheme="majorEastAsia" w:hAnsiTheme="majorHAnsi" w:cstheme="majorBidi"/>
      <w:color w:val="2E74B5" w:themeColor="accent1" w:themeShade="BF"/>
      <w:sz w:val="26"/>
      <w:szCs w:val="26"/>
    </w:rPr>
  </w:style>
  <w:style w:type="paragraph" w:styleId="Rientrocorpodeltesto">
    <w:name w:val="Body Text Indent"/>
    <w:basedOn w:val="Normale"/>
    <w:link w:val="RientrocorpodeltestoCarattere"/>
    <w:uiPriority w:val="99"/>
    <w:semiHidden/>
    <w:unhideWhenUsed/>
    <w:rsid w:val="00C767EA"/>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767EA"/>
  </w:style>
  <w:style w:type="paragraph" w:styleId="Primorientrocorpodeltesto2">
    <w:name w:val="Body Text First Indent 2"/>
    <w:basedOn w:val="Rientrocorpodeltesto"/>
    <w:link w:val="Primorientrocorpodeltesto2Carattere"/>
    <w:uiPriority w:val="99"/>
    <w:unhideWhenUsed/>
    <w:rsid w:val="00C767EA"/>
    <w:pPr>
      <w:spacing w:after="160"/>
      <w:ind w:left="360" w:firstLine="360"/>
    </w:pPr>
  </w:style>
  <w:style w:type="character" w:customStyle="1" w:styleId="Primorientrocorpodeltesto2Carattere">
    <w:name w:val="Primo rientro corpo del testo 2 Carattere"/>
    <w:basedOn w:val="RientrocorpodeltestoCarattere"/>
    <w:link w:val="Primorientrocorpodeltesto2"/>
    <w:uiPriority w:val="99"/>
    <w:rsid w:val="00C767EA"/>
  </w:style>
  <w:style w:type="paragraph" w:styleId="Titolosommario">
    <w:name w:val="TOC Heading"/>
    <w:basedOn w:val="Titolo1"/>
    <w:next w:val="Normale"/>
    <w:uiPriority w:val="39"/>
    <w:unhideWhenUsed/>
    <w:qFormat/>
    <w:rsid w:val="006A7B56"/>
    <w:pPr>
      <w:outlineLvl w:val="9"/>
    </w:pPr>
    <w:rPr>
      <w:lang w:eastAsia="it-IT"/>
    </w:rPr>
  </w:style>
  <w:style w:type="paragraph" w:styleId="Sommario1">
    <w:name w:val="toc 1"/>
    <w:basedOn w:val="Normale"/>
    <w:next w:val="Normale"/>
    <w:autoRedefine/>
    <w:uiPriority w:val="39"/>
    <w:unhideWhenUsed/>
    <w:rsid w:val="006A7B56"/>
    <w:pPr>
      <w:spacing w:after="100"/>
    </w:pPr>
  </w:style>
  <w:style w:type="paragraph" w:styleId="Sommario2">
    <w:name w:val="toc 2"/>
    <w:basedOn w:val="Normale"/>
    <w:next w:val="Normale"/>
    <w:autoRedefine/>
    <w:uiPriority w:val="39"/>
    <w:unhideWhenUsed/>
    <w:rsid w:val="006A7B56"/>
    <w:pPr>
      <w:spacing w:after="100"/>
      <w:ind w:left="220"/>
    </w:pPr>
  </w:style>
  <w:style w:type="character" w:customStyle="1" w:styleId="Menzionenonrisolta2">
    <w:name w:val="Menzione non risolta2"/>
    <w:basedOn w:val="Carpredefinitoparagrafo"/>
    <w:uiPriority w:val="99"/>
    <w:semiHidden/>
    <w:unhideWhenUsed/>
    <w:rsid w:val="00CE2816"/>
    <w:rPr>
      <w:color w:val="605E5C"/>
      <w:shd w:val="clear" w:color="auto" w:fill="E1DFDD"/>
    </w:rPr>
  </w:style>
  <w:style w:type="paragraph" w:styleId="NormaleWeb">
    <w:name w:val="Normal (Web)"/>
    <w:basedOn w:val="Normale"/>
    <w:uiPriority w:val="99"/>
    <w:semiHidden/>
    <w:unhideWhenUsed/>
    <w:rsid w:val="008E24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E24A6"/>
    <w:rPr>
      <w:b/>
      <w:bCs/>
    </w:rPr>
  </w:style>
  <w:style w:type="character" w:customStyle="1" w:styleId="UnresolvedMention">
    <w:name w:val="Unresolved Mention"/>
    <w:basedOn w:val="Carpredefinitoparagrafo"/>
    <w:uiPriority w:val="99"/>
    <w:semiHidden/>
    <w:unhideWhenUsed/>
    <w:rsid w:val="00ED206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2228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2228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740AE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40AEA"/>
    <w:rPr>
      <w:sz w:val="20"/>
      <w:szCs w:val="20"/>
    </w:rPr>
  </w:style>
  <w:style w:type="character" w:styleId="Rimandonotaapidipagina">
    <w:name w:val="footnote reference"/>
    <w:basedOn w:val="Carpredefinitoparagrafo"/>
    <w:uiPriority w:val="99"/>
    <w:unhideWhenUsed/>
    <w:qFormat/>
    <w:rsid w:val="00740AEA"/>
    <w:rPr>
      <w:vertAlign w:val="superscript"/>
    </w:rPr>
  </w:style>
  <w:style w:type="paragraph" w:styleId="Intestazione">
    <w:name w:val="header"/>
    <w:basedOn w:val="Normale"/>
    <w:link w:val="IntestazioneCarattere"/>
    <w:uiPriority w:val="99"/>
    <w:unhideWhenUsed/>
    <w:rsid w:val="00DC7F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C7FD7"/>
  </w:style>
  <w:style w:type="paragraph" w:styleId="Pidipagina">
    <w:name w:val="footer"/>
    <w:basedOn w:val="Normale"/>
    <w:link w:val="PidipaginaCarattere"/>
    <w:uiPriority w:val="99"/>
    <w:unhideWhenUsed/>
    <w:rsid w:val="00DC7F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7FD7"/>
  </w:style>
  <w:style w:type="character" w:customStyle="1" w:styleId="Richiamoallanotaapidipagina">
    <w:name w:val="Richiamo alla nota a piè di pagina"/>
    <w:rsid w:val="00DC7FD7"/>
    <w:rPr>
      <w:vertAlign w:val="superscript"/>
    </w:rPr>
  </w:style>
  <w:style w:type="paragraph" w:styleId="Testofumetto">
    <w:name w:val="Balloon Text"/>
    <w:basedOn w:val="Normale"/>
    <w:link w:val="TestofumettoCarattere"/>
    <w:uiPriority w:val="99"/>
    <w:semiHidden/>
    <w:unhideWhenUsed/>
    <w:rsid w:val="00B02B3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02B38"/>
    <w:rPr>
      <w:rFonts w:ascii="Segoe UI" w:hAnsi="Segoe UI" w:cs="Segoe UI"/>
      <w:sz w:val="18"/>
      <w:szCs w:val="18"/>
    </w:rPr>
  </w:style>
  <w:style w:type="paragraph" w:customStyle="1" w:styleId="Default">
    <w:name w:val="Default"/>
    <w:rsid w:val="00CB5F61"/>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 w:type="paragraph" w:styleId="Paragrafoelenco">
    <w:name w:val="List Paragraph"/>
    <w:basedOn w:val="Normale"/>
    <w:uiPriority w:val="34"/>
    <w:qFormat/>
    <w:rsid w:val="007724D5"/>
    <w:pPr>
      <w:ind w:left="720"/>
      <w:contextualSpacing/>
    </w:pPr>
  </w:style>
  <w:style w:type="table" w:customStyle="1" w:styleId="Grigliamedia1-Colore11">
    <w:name w:val="Griglia media 1 - Colore 11"/>
    <w:basedOn w:val="Tabellanormale"/>
    <w:next w:val="Grigliamedia1-Colore1"/>
    <w:uiPriority w:val="67"/>
    <w:rsid w:val="00B2444F"/>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gliamedia1-Colore1">
    <w:name w:val="Medium Grid 1 Accent 1"/>
    <w:basedOn w:val="Tabellanormale"/>
    <w:uiPriority w:val="67"/>
    <w:rsid w:val="00B2444F"/>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gliatabella">
    <w:name w:val="Table Grid"/>
    <w:basedOn w:val="Tabellanormale"/>
    <w:uiPriority w:val="39"/>
    <w:rsid w:val="0036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31B18"/>
    <w:rPr>
      <w:color w:val="0563C1" w:themeColor="hyperlink"/>
      <w:u w:val="single"/>
    </w:rPr>
  </w:style>
  <w:style w:type="character" w:styleId="Collegamentovisitato">
    <w:name w:val="FollowedHyperlink"/>
    <w:basedOn w:val="Carpredefinitoparagrafo"/>
    <w:uiPriority w:val="99"/>
    <w:semiHidden/>
    <w:unhideWhenUsed/>
    <w:rsid w:val="004228A4"/>
    <w:rPr>
      <w:color w:val="954F72" w:themeColor="followedHyperlink"/>
      <w:u w:val="single"/>
    </w:rPr>
  </w:style>
  <w:style w:type="paragraph" w:styleId="Revisione">
    <w:name w:val="Revision"/>
    <w:hidden/>
    <w:uiPriority w:val="99"/>
    <w:semiHidden/>
    <w:rsid w:val="00927E24"/>
    <w:pPr>
      <w:spacing w:after="0" w:line="240" w:lineRule="auto"/>
    </w:pPr>
  </w:style>
  <w:style w:type="character" w:customStyle="1" w:styleId="Menzionenonrisolta1">
    <w:name w:val="Menzione non risolta1"/>
    <w:basedOn w:val="Carpredefinitoparagrafo"/>
    <w:uiPriority w:val="99"/>
    <w:semiHidden/>
    <w:unhideWhenUsed/>
    <w:rsid w:val="003876DF"/>
    <w:rPr>
      <w:color w:val="808080"/>
      <w:shd w:val="clear" w:color="auto" w:fill="E6E6E6"/>
    </w:rPr>
  </w:style>
  <w:style w:type="character" w:customStyle="1" w:styleId="Titolo1Carattere">
    <w:name w:val="Titolo 1 Carattere"/>
    <w:basedOn w:val="Carpredefinitoparagrafo"/>
    <w:link w:val="Titolo1"/>
    <w:uiPriority w:val="9"/>
    <w:rsid w:val="002228F3"/>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2228F3"/>
    <w:rPr>
      <w:rFonts w:asciiTheme="majorHAnsi" w:eastAsiaTheme="majorEastAsia" w:hAnsiTheme="majorHAnsi" w:cstheme="majorBidi"/>
      <w:color w:val="2E74B5" w:themeColor="accent1" w:themeShade="BF"/>
      <w:sz w:val="26"/>
      <w:szCs w:val="26"/>
    </w:rPr>
  </w:style>
  <w:style w:type="paragraph" w:styleId="Rientrocorpodeltesto">
    <w:name w:val="Body Text Indent"/>
    <w:basedOn w:val="Normale"/>
    <w:link w:val="RientrocorpodeltestoCarattere"/>
    <w:uiPriority w:val="99"/>
    <w:semiHidden/>
    <w:unhideWhenUsed/>
    <w:rsid w:val="00C767EA"/>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767EA"/>
  </w:style>
  <w:style w:type="paragraph" w:styleId="Primorientrocorpodeltesto2">
    <w:name w:val="Body Text First Indent 2"/>
    <w:basedOn w:val="Rientrocorpodeltesto"/>
    <w:link w:val="Primorientrocorpodeltesto2Carattere"/>
    <w:uiPriority w:val="99"/>
    <w:unhideWhenUsed/>
    <w:rsid w:val="00C767EA"/>
    <w:pPr>
      <w:spacing w:after="160"/>
      <w:ind w:left="360" w:firstLine="360"/>
    </w:pPr>
  </w:style>
  <w:style w:type="character" w:customStyle="1" w:styleId="Primorientrocorpodeltesto2Carattere">
    <w:name w:val="Primo rientro corpo del testo 2 Carattere"/>
    <w:basedOn w:val="RientrocorpodeltestoCarattere"/>
    <w:link w:val="Primorientrocorpodeltesto2"/>
    <w:uiPriority w:val="99"/>
    <w:rsid w:val="00C767EA"/>
  </w:style>
  <w:style w:type="paragraph" w:styleId="Titolosommario">
    <w:name w:val="TOC Heading"/>
    <w:basedOn w:val="Titolo1"/>
    <w:next w:val="Normale"/>
    <w:uiPriority w:val="39"/>
    <w:unhideWhenUsed/>
    <w:qFormat/>
    <w:rsid w:val="006A7B56"/>
    <w:pPr>
      <w:outlineLvl w:val="9"/>
    </w:pPr>
    <w:rPr>
      <w:lang w:eastAsia="it-IT"/>
    </w:rPr>
  </w:style>
  <w:style w:type="paragraph" w:styleId="Sommario1">
    <w:name w:val="toc 1"/>
    <w:basedOn w:val="Normale"/>
    <w:next w:val="Normale"/>
    <w:autoRedefine/>
    <w:uiPriority w:val="39"/>
    <w:unhideWhenUsed/>
    <w:rsid w:val="006A7B56"/>
    <w:pPr>
      <w:spacing w:after="100"/>
    </w:pPr>
  </w:style>
  <w:style w:type="paragraph" w:styleId="Sommario2">
    <w:name w:val="toc 2"/>
    <w:basedOn w:val="Normale"/>
    <w:next w:val="Normale"/>
    <w:autoRedefine/>
    <w:uiPriority w:val="39"/>
    <w:unhideWhenUsed/>
    <w:rsid w:val="006A7B56"/>
    <w:pPr>
      <w:spacing w:after="100"/>
      <w:ind w:left="220"/>
    </w:pPr>
  </w:style>
  <w:style w:type="character" w:customStyle="1" w:styleId="Menzionenonrisolta2">
    <w:name w:val="Menzione non risolta2"/>
    <w:basedOn w:val="Carpredefinitoparagrafo"/>
    <w:uiPriority w:val="99"/>
    <w:semiHidden/>
    <w:unhideWhenUsed/>
    <w:rsid w:val="00CE2816"/>
    <w:rPr>
      <w:color w:val="605E5C"/>
      <w:shd w:val="clear" w:color="auto" w:fill="E1DFDD"/>
    </w:rPr>
  </w:style>
  <w:style w:type="paragraph" w:styleId="NormaleWeb">
    <w:name w:val="Normal (Web)"/>
    <w:basedOn w:val="Normale"/>
    <w:uiPriority w:val="99"/>
    <w:semiHidden/>
    <w:unhideWhenUsed/>
    <w:rsid w:val="008E24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E24A6"/>
    <w:rPr>
      <w:b/>
      <w:bCs/>
    </w:rPr>
  </w:style>
  <w:style w:type="character" w:customStyle="1" w:styleId="UnresolvedMention">
    <w:name w:val="Unresolved Mention"/>
    <w:basedOn w:val="Carpredefinitoparagrafo"/>
    <w:uiPriority w:val="99"/>
    <w:semiHidden/>
    <w:unhideWhenUsed/>
    <w:rsid w:val="00ED2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3528">
      <w:bodyDiv w:val="1"/>
      <w:marLeft w:val="0"/>
      <w:marRight w:val="0"/>
      <w:marTop w:val="0"/>
      <w:marBottom w:val="0"/>
      <w:divBdr>
        <w:top w:val="none" w:sz="0" w:space="0" w:color="auto"/>
        <w:left w:val="none" w:sz="0" w:space="0" w:color="auto"/>
        <w:bottom w:val="none" w:sz="0" w:space="0" w:color="auto"/>
        <w:right w:val="none" w:sz="0" w:space="0" w:color="auto"/>
      </w:divBdr>
    </w:div>
    <w:div w:id="258218153">
      <w:bodyDiv w:val="1"/>
      <w:marLeft w:val="0"/>
      <w:marRight w:val="0"/>
      <w:marTop w:val="0"/>
      <w:marBottom w:val="0"/>
      <w:divBdr>
        <w:top w:val="none" w:sz="0" w:space="0" w:color="auto"/>
        <w:left w:val="none" w:sz="0" w:space="0" w:color="auto"/>
        <w:bottom w:val="none" w:sz="0" w:space="0" w:color="auto"/>
        <w:right w:val="none" w:sz="0" w:space="0" w:color="auto"/>
      </w:divBdr>
    </w:div>
    <w:div w:id="338236926">
      <w:bodyDiv w:val="1"/>
      <w:marLeft w:val="0"/>
      <w:marRight w:val="0"/>
      <w:marTop w:val="0"/>
      <w:marBottom w:val="0"/>
      <w:divBdr>
        <w:top w:val="none" w:sz="0" w:space="0" w:color="auto"/>
        <w:left w:val="none" w:sz="0" w:space="0" w:color="auto"/>
        <w:bottom w:val="none" w:sz="0" w:space="0" w:color="auto"/>
        <w:right w:val="none" w:sz="0" w:space="0" w:color="auto"/>
      </w:divBdr>
    </w:div>
    <w:div w:id="727651978">
      <w:bodyDiv w:val="1"/>
      <w:marLeft w:val="0"/>
      <w:marRight w:val="0"/>
      <w:marTop w:val="0"/>
      <w:marBottom w:val="0"/>
      <w:divBdr>
        <w:top w:val="none" w:sz="0" w:space="0" w:color="auto"/>
        <w:left w:val="none" w:sz="0" w:space="0" w:color="auto"/>
        <w:bottom w:val="none" w:sz="0" w:space="0" w:color="auto"/>
        <w:right w:val="none" w:sz="0" w:space="0" w:color="auto"/>
      </w:divBdr>
    </w:div>
    <w:div w:id="1184133578">
      <w:bodyDiv w:val="1"/>
      <w:marLeft w:val="0"/>
      <w:marRight w:val="0"/>
      <w:marTop w:val="0"/>
      <w:marBottom w:val="0"/>
      <w:divBdr>
        <w:top w:val="none" w:sz="0" w:space="0" w:color="auto"/>
        <w:left w:val="none" w:sz="0" w:space="0" w:color="auto"/>
        <w:bottom w:val="none" w:sz="0" w:space="0" w:color="auto"/>
        <w:right w:val="none" w:sz="0" w:space="0" w:color="auto"/>
      </w:divBdr>
    </w:div>
    <w:div w:id="1598100929">
      <w:bodyDiv w:val="1"/>
      <w:marLeft w:val="0"/>
      <w:marRight w:val="0"/>
      <w:marTop w:val="0"/>
      <w:marBottom w:val="0"/>
      <w:divBdr>
        <w:top w:val="none" w:sz="0" w:space="0" w:color="auto"/>
        <w:left w:val="none" w:sz="0" w:space="0" w:color="auto"/>
        <w:bottom w:val="none" w:sz="0" w:space="0" w:color="auto"/>
        <w:right w:val="none" w:sz="0" w:space="0" w:color="auto"/>
      </w:divBdr>
      <w:divsChild>
        <w:div w:id="207910679">
          <w:marLeft w:val="0"/>
          <w:marRight w:val="0"/>
          <w:marTop w:val="0"/>
          <w:marBottom w:val="0"/>
          <w:divBdr>
            <w:top w:val="none" w:sz="0" w:space="0" w:color="auto"/>
            <w:left w:val="none" w:sz="0" w:space="0" w:color="auto"/>
            <w:bottom w:val="none" w:sz="0" w:space="0" w:color="auto"/>
            <w:right w:val="none" w:sz="0" w:space="0" w:color="auto"/>
          </w:divBdr>
        </w:div>
      </w:divsChild>
    </w:div>
    <w:div w:id="1816608926">
      <w:bodyDiv w:val="1"/>
      <w:marLeft w:val="0"/>
      <w:marRight w:val="0"/>
      <w:marTop w:val="0"/>
      <w:marBottom w:val="0"/>
      <w:divBdr>
        <w:top w:val="none" w:sz="0" w:space="0" w:color="auto"/>
        <w:left w:val="none" w:sz="0" w:space="0" w:color="auto"/>
        <w:bottom w:val="none" w:sz="0" w:space="0" w:color="auto"/>
        <w:right w:val="none" w:sz="0" w:space="0" w:color="auto"/>
      </w:divBdr>
    </w:div>
    <w:div w:id="206709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ropbox.com/s/05i6f2w8t4oluad/2016.03.22%20Cons.%20Stato%20sentenza%201164-2016.pdf?dl=0" TargetMode="External"/><Relationship Id="rId18" Type="http://schemas.openxmlformats.org/officeDocument/2006/relationships/hyperlink" Target="https://www.dropbox.com/s/bp1y3be3qgbncpi/S-2016-74%202016.11.14%20TAR%20Lazio%20inottemperanza%20AGCM%20-%20%282%29.docx?dl=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iustizia.it/giustizia/it/mg_1_20_1.wp?facetNode_1=0_8_1_11&amp;facetNode_3=1_2(201411)&amp;facetNode_2=1_2(2014)&amp;previsiousPage=mg_1_20&amp;contentId=SDU1122650" TargetMode="External"/><Relationship Id="rId7" Type="http://schemas.openxmlformats.org/officeDocument/2006/relationships/footnotes" Target="footnotes.xml"/><Relationship Id="rId12" Type="http://schemas.openxmlformats.org/officeDocument/2006/relationships/hyperlink" Target="https://www.dropbox.com/s/dlj4q9z8cdl351q/2015.07.01%20sent.%208778%20ric.%20CNF%20AGCM%20I748.pdf?dl=0" TargetMode="External"/><Relationship Id="rId17" Type="http://schemas.openxmlformats.org/officeDocument/2006/relationships/hyperlink" Target="https://www.dropbox.com/s/s9ovc5cx5fz2e5w/2016.11.11%20TAR%20Lazio%20sentenza%2011169-2016%20CNF%20c.%20AGCM.pdf?dl=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ropbox.com/s/1wllhvl7bov4v1q/2015.11.11%20AGCM%20chiusura%20procedimento%20I478C%20rideterminazione%20sanzione%20p25705.pdf?dl=0" TargetMode="External"/><Relationship Id="rId20" Type="http://schemas.openxmlformats.org/officeDocument/2006/relationships/hyperlink" Target="https://www.dropbox.com/s/s3nl4o8475uofn0/2016.02.10%20-%202016.02.18%20AGCM%20chiusura%20proc.%20I748B%20inottemperanza.pdf?dl=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ropbox.com/s/k65xzf07kj6gxsb/2014.10.22%20-%202014.11.14%20Provvedimento%20conclusivo%20AGCM%20I748.pdf?dl=0" TargetMode="External"/><Relationship Id="rId24" Type="http://schemas.openxmlformats.org/officeDocument/2006/relationships/hyperlink" Target="http://curia.europa.eu/juris/document/document.jsf?text=&amp;docid=212624&amp;pageIndex=0&amp;doclang=it&amp;mode=lst&amp;dir=&amp;occ=first&amp;part=1&amp;cid=8296885" TargetMode="External"/><Relationship Id="rId5" Type="http://schemas.openxmlformats.org/officeDocument/2006/relationships/settings" Target="settings.xml"/><Relationship Id="rId15" Type="http://schemas.openxmlformats.org/officeDocument/2006/relationships/hyperlink" Target="https://www.dropbox.com/s/s3nl4o8475uofn0/2016.02.10%20-%202016.02.18%20AGCM%20chiusura%20proc.%20I748B%20inottemperanza.pdf?dl=0" TargetMode="External"/><Relationship Id="rId23" Type="http://schemas.openxmlformats.org/officeDocument/2006/relationships/hyperlink" Target="https://www.dropbox.com/s/0s1f74tpkzypbty/2013.07.16%20AGCM%20provvedimento%2016-7-2013%20avvio%20istruttoria%20c-CNF.pdf?dl=0" TargetMode="External"/><Relationship Id="rId28" Type="http://schemas.openxmlformats.org/officeDocument/2006/relationships/theme" Target="theme/theme1.xml"/><Relationship Id="rId10" Type="http://schemas.openxmlformats.org/officeDocument/2006/relationships/hyperlink" Target="https://www.dropbox.com/s/0s1f74tpkzypbty/2013.07.16%20AGCM%20provvedimento%2016-7-2013%20avvio%20istruttoria%20c-CNF.pdf?dl=0" TargetMode="External"/><Relationship Id="rId19" Type="http://schemas.openxmlformats.org/officeDocument/2006/relationships/hyperlink" Target="https://www.dropbox.com/s/s9ovc5cx5fz2e5w/2016.11.11%20TAR%20Lazio%20sentenza%2011169-2016%20CNF%20c.%20AGCM.pdf?dl=0" TargetMode="External"/><Relationship Id="rId4" Type="http://schemas.microsoft.com/office/2007/relationships/stylesWithEffects" Target="stylesWithEffects.xml"/><Relationship Id="rId9" Type="http://schemas.openxmlformats.org/officeDocument/2006/relationships/hyperlink" Target="https://www.dropbox.com/s/em0sxmfuheufwzy/S-2020-41%20allegato%20sentenza%20CdS%202764-2020%20AGCM-CNF.pdf?dl=0" TargetMode="External"/><Relationship Id="rId14" Type="http://schemas.openxmlformats.org/officeDocument/2006/relationships/hyperlink" Target="https://www.dropbox.com/s/21abaqm3djzfjzx/2015.05.29%20AGCM%20avvio%20procedimento%20I748B%20per%20inottemperanza%2027.05.15.pdf?dl=0" TargetMode="External"/><Relationship Id="rId22" Type="http://schemas.openxmlformats.org/officeDocument/2006/relationships/hyperlink" Target="https://www.dropbox.com/s/21abaqm3djzfjzx/2015.05.29%20AGCM%20avvio%20procedimento%20I748B%20per%20inottemperanza%2027.05.15.pdf?dl=0"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46B40-04B6-40A2-8DB0-BB098EED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1511</Words>
  <Characters>8617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Avv. Cassi</cp:lastModifiedBy>
  <cp:revision>2</cp:revision>
  <cp:lastPrinted>2020-04-01T13:47:00Z</cp:lastPrinted>
  <dcterms:created xsi:type="dcterms:W3CDTF">2020-05-02T06:16:00Z</dcterms:created>
  <dcterms:modified xsi:type="dcterms:W3CDTF">2020-05-02T06:16:00Z</dcterms:modified>
</cp:coreProperties>
</file>